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AECDE">
      <w:pPr>
        <w:spacing w:line="240" w:lineRule="auto"/>
        <w:ind w:firstLine="0"/>
        <w:jc w:val="center"/>
        <w:rPr>
          <w:rFonts w:cs="Times New Roman"/>
          <w:b/>
          <w:sz w:val="28"/>
          <w:szCs w:val="28"/>
          <w:lang w:val="id"/>
        </w:rPr>
      </w:pPr>
      <w:r>
        <w:rPr>
          <w:rFonts w:cs="Times New Roman"/>
          <w:b/>
          <w:sz w:val="28"/>
          <w:szCs w:val="28"/>
        </w:rPr>
        <w:t xml:space="preserve">PENGARUH MODEL PEMBELAJARAN </w:t>
      </w:r>
      <w:r>
        <w:rPr>
          <w:rFonts w:cs="Times New Roman"/>
          <w:b/>
          <w:i/>
          <w:sz w:val="28"/>
          <w:szCs w:val="28"/>
        </w:rPr>
        <w:t>GAME BASED</w:t>
      </w:r>
      <w:r>
        <w:rPr>
          <w:rFonts w:hint="default" w:cs="Times New Roman"/>
          <w:b/>
          <w:i/>
          <w:sz w:val="28"/>
          <w:szCs w:val="28"/>
          <w:lang w:val="en-US"/>
        </w:rPr>
        <w:t xml:space="preserve"> </w:t>
      </w:r>
      <w:r>
        <w:rPr>
          <w:rFonts w:cs="Times New Roman"/>
          <w:b/>
          <w:i/>
          <w:sz w:val="28"/>
          <w:szCs w:val="28"/>
        </w:rPr>
        <w:t>LEARNING</w:t>
      </w:r>
      <w:r>
        <w:rPr>
          <w:rFonts w:cs="Times New Roman"/>
          <w:b/>
          <w:sz w:val="28"/>
          <w:szCs w:val="28"/>
        </w:rPr>
        <w:t xml:space="preserve"> TERHADAP HASIL BELAJAR SISWA</w:t>
      </w:r>
      <w:r>
        <w:rPr>
          <w:rFonts w:hint="default" w:cs="Times New Roman"/>
          <w:b/>
          <w:sz w:val="28"/>
          <w:szCs w:val="28"/>
          <w:lang w:val="en-US"/>
        </w:rPr>
        <w:t xml:space="preserve"> </w:t>
      </w:r>
      <w:r>
        <w:rPr>
          <w:rFonts w:cs="Times New Roman"/>
          <w:b/>
          <w:sz w:val="28"/>
          <w:szCs w:val="28"/>
        </w:rPr>
        <w:t>PAD</w:t>
      </w:r>
      <w:r>
        <w:rPr>
          <w:rFonts w:hint="default" w:cs="Times New Roman"/>
          <w:b/>
          <w:sz w:val="28"/>
          <w:szCs w:val="28"/>
          <w:lang w:val="en-US"/>
        </w:rPr>
        <w:t xml:space="preserve">A </w:t>
      </w:r>
      <w:r>
        <w:rPr>
          <w:rFonts w:cs="Times New Roman"/>
          <w:b/>
          <w:sz w:val="28"/>
          <w:szCs w:val="28"/>
        </w:rPr>
        <w:t>MATA PELAJARAN IPAS KELAS IV</w:t>
      </w:r>
      <w:r>
        <w:rPr>
          <w:rFonts w:hint="default" w:cs="Times New Roman"/>
          <w:b/>
          <w:sz w:val="28"/>
          <w:szCs w:val="28"/>
          <w:lang w:val="en-US"/>
        </w:rPr>
        <w:t xml:space="preserve"> </w:t>
      </w:r>
      <w:r>
        <w:rPr>
          <w:rFonts w:cs="Times New Roman"/>
          <w:b/>
          <w:sz w:val="28"/>
          <w:szCs w:val="28"/>
        </w:rPr>
        <w:t>UPT SDN 060930</w:t>
      </w:r>
      <w:r>
        <w:rPr>
          <w:rFonts w:hint="default" w:cs="Times New Roman"/>
          <w:b/>
          <w:sz w:val="28"/>
          <w:szCs w:val="28"/>
          <w:lang w:val="en-US"/>
        </w:rPr>
        <w:t xml:space="preserve"> </w:t>
      </w:r>
      <w:r>
        <w:rPr>
          <w:rFonts w:cs="Times New Roman"/>
          <w:b/>
          <w:sz w:val="28"/>
          <w:szCs w:val="28"/>
        </w:rPr>
        <w:t>MEDAN JOHOR</w:t>
      </w:r>
      <w:r>
        <w:rPr>
          <w:rFonts w:hint="default" w:cs="Times New Roman"/>
          <w:b/>
          <w:sz w:val="28"/>
          <w:szCs w:val="28"/>
          <w:lang w:val="en-US"/>
        </w:rPr>
        <w:t xml:space="preserve"> </w:t>
      </w:r>
      <w:r>
        <w:rPr>
          <w:rFonts w:cs="Times New Roman"/>
          <w:b/>
          <w:sz w:val="28"/>
          <w:szCs w:val="28"/>
        </w:rPr>
        <w:t>T.A 2025/2026</w:t>
      </w:r>
    </w:p>
    <w:p w14:paraId="0847857E">
      <w:pPr>
        <w:spacing w:line="240" w:lineRule="auto"/>
        <w:jc w:val="center"/>
        <w:rPr>
          <w:rFonts w:cs="Times New Roman"/>
          <w:b/>
          <w:sz w:val="28"/>
          <w:szCs w:val="28"/>
          <w:lang w:val="id"/>
        </w:rPr>
      </w:pPr>
    </w:p>
    <w:p w14:paraId="71FDC95C">
      <w:pPr>
        <w:spacing w:line="240" w:lineRule="auto"/>
        <w:ind w:left="-284" w:right="-284" w:firstLine="0"/>
        <w:jc w:val="center"/>
        <w:rPr>
          <w:rFonts w:cs="Times New Roman"/>
          <w:b/>
          <w:bCs/>
          <w:sz w:val="28"/>
          <w:szCs w:val="28"/>
        </w:rPr>
      </w:pPr>
      <w:r>
        <w:rPr>
          <w:rFonts w:cs="Times New Roman"/>
          <w:b/>
          <w:bCs/>
          <w:i/>
          <w:sz w:val="28"/>
          <w:szCs w:val="28"/>
        </w:rPr>
        <w:t>THE EFFECT OF GAME BASED LEARNING MODEL</w:t>
      </w:r>
      <w:r>
        <w:rPr>
          <w:rFonts w:hint="default" w:cs="Times New Roman"/>
          <w:b/>
          <w:bCs/>
          <w:i/>
          <w:sz w:val="28"/>
          <w:szCs w:val="28"/>
          <w:lang w:val="en-US"/>
        </w:rPr>
        <w:t xml:space="preserve"> </w:t>
      </w:r>
      <w:r>
        <w:rPr>
          <w:rFonts w:cs="Times New Roman"/>
          <w:b/>
          <w:bCs/>
          <w:i/>
          <w:sz w:val="28"/>
          <w:szCs w:val="28"/>
        </w:rPr>
        <w:t>ON</w:t>
      </w:r>
      <w:r>
        <w:rPr>
          <w:rFonts w:hint="default" w:cs="Times New Roman"/>
          <w:b/>
          <w:bCs/>
          <w:i/>
          <w:sz w:val="28"/>
          <w:szCs w:val="28"/>
          <w:lang w:val="en-US"/>
        </w:rPr>
        <w:t xml:space="preserve"> </w:t>
      </w:r>
      <w:r>
        <w:rPr>
          <w:rFonts w:cs="Times New Roman"/>
          <w:b/>
          <w:bCs/>
          <w:i/>
          <w:sz w:val="28"/>
          <w:szCs w:val="28"/>
        </w:rPr>
        <w:t>STUDENTS’ LEARNING OUTCOMES</w:t>
      </w:r>
      <w:r>
        <w:rPr>
          <w:rFonts w:hint="default" w:cs="Times New Roman"/>
          <w:b/>
          <w:bCs/>
          <w:i/>
          <w:sz w:val="28"/>
          <w:szCs w:val="28"/>
          <w:lang w:val="en-US"/>
        </w:rPr>
        <w:t xml:space="preserve"> </w:t>
      </w:r>
      <w:r>
        <w:rPr>
          <w:rFonts w:cs="Times New Roman"/>
          <w:b/>
          <w:bCs/>
          <w:i/>
          <w:sz w:val="28"/>
          <w:szCs w:val="28"/>
        </w:rPr>
        <w:t>IN IPAS SUBJECT FO</w:t>
      </w:r>
      <w:r>
        <w:rPr>
          <w:rFonts w:hint="default" w:cs="Times New Roman"/>
          <w:b/>
          <w:bCs/>
          <w:i/>
          <w:sz w:val="28"/>
          <w:szCs w:val="28"/>
          <w:lang w:val="en-US"/>
        </w:rPr>
        <w:t xml:space="preserve">R </w:t>
      </w:r>
      <w:r>
        <w:rPr>
          <w:rFonts w:cs="Times New Roman"/>
          <w:b/>
          <w:bCs/>
          <w:i/>
          <w:sz w:val="28"/>
          <w:szCs w:val="28"/>
        </w:rPr>
        <w:t>GRADE IV</w:t>
      </w:r>
      <w:r>
        <w:rPr>
          <w:rFonts w:hint="default" w:cs="Times New Roman"/>
          <w:b/>
          <w:bCs/>
          <w:i/>
          <w:sz w:val="28"/>
          <w:szCs w:val="28"/>
          <w:lang w:val="en-US"/>
        </w:rPr>
        <w:t xml:space="preserve"> </w:t>
      </w:r>
      <w:r>
        <w:rPr>
          <w:rFonts w:cs="Times New Roman"/>
          <w:b/>
          <w:bCs/>
          <w:i/>
          <w:sz w:val="28"/>
          <w:szCs w:val="28"/>
        </w:rPr>
        <w:t>UPT SDN 060930 MEDAN JOHOR</w:t>
      </w:r>
      <w:r>
        <w:rPr>
          <w:rFonts w:hint="default" w:cs="Times New Roman"/>
          <w:b/>
          <w:bCs/>
          <w:i/>
          <w:sz w:val="28"/>
          <w:szCs w:val="28"/>
          <w:lang w:val="en-US"/>
        </w:rPr>
        <w:t xml:space="preserve"> </w:t>
      </w:r>
      <w:r>
        <w:rPr>
          <w:rFonts w:cs="Times New Roman"/>
          <w:b/>
          <w:bCs/>
          <w:i/>
          <w:sz w:val="28"/>
          <w:szCs w:val="28"/>
        </w:rPr>
        <w:t>T.A 2025/2026</w:t>
      </w:r>
    </w:p>
    <w:p w14:paraId="39701B15">
      <w:pPr>
        <w:ind w:left="-284" w:right="-284" w:firstLine="0"/>
        <w:jc w:val="center"/>
        <w:rPr>
          <w:rFonts w:cs="Times New Roman"/>
          <w:b/>
          <w:bCs/>
          <w:sz w:val="28"/>
          <w:szCs w:val="28"/>
        </w:rPr>
      </w:pPr>
    </w:p>
    <w:p w14:paraId="7404C62F">
      <w:pPr>
        <w:spacing w:line="240" w:lineRule="auto"/>
        <w:ind w:firstLine="0"/>
        <w:jc w:val="center"/>
        <w:rPr>
          <w:rFonts w:cs="Times New Roman"/>
          <w:vertAlign w:val="superscript"/>
        </w:rPr>
      </w:pPr>
      <w:r>
        <w:rPr>
          <w:rFonts w:cs="Times New Roman"/>
          <w:b/>
          <w:bCs w:val="0"/>
          <w:szCs w:val="28"/>
        </w:rPr>
        <w:t>Nurlita Apriliani</w:t>
      </w:r>
      <w:r>
        <w:rPr>
          <w:rFonts w:cs="Times New Roman"/>
          <w:b/>
          <w:bCs w:val="0"/>
          <w:szCs w:val="28"/>
          <w:vertAlign w:val="superscript"/>
        </w:rPr>
        <w:t>(1)</w:t>
      </w:r>
      <w:r>
        <w:rPr>
          <w:rFonts w:cs="Times New Roman"/>
          <w:b/>
          <w:bCs w:val="0"/>
          <w:szCs w:val="28"/>
        </w:rPr>
        <w:t xml:space="preserve">, </w:t>
      </w:r>
      <w:r>
        <w:rPr>
          <w:rFonts w:cs="Times New Roman"/>
          <w:b/>
          <w:bCs w:val="0"/>
          <w:szCs w:val="24"/>
        </w:rPr>
        <w:t>Sejahtera Sebayang</w:t>
      </w:r>
      <w:r>
        <w:rPr>
          <w:rFonts w:cs="Times New Roman"/>
          <w:b/>
          <w:bCs w:val="0"/>
          <w:vertAlign w:val="superscript"/>
        </w:rPr>
        <w:t xml:space="preserve"> (2)</w:t>
      </w:r>
      <w:r>
        <w:rPr>
          <w:rFonts w:cs="Times New Roman"/>
          <w:b/>
          <w:bCs w:val="0"/>
        </w:rPr>
        <w:t>, Restio Sidebang</w:t>
      </w:r>
      <w:r>
        <w:rPr>
          <w:rFonts w:cs="Times New Roman"/>
          <w:b/>
          <w:bCs w:val="0"/>
          <w:vertAlign w:val="superscript"/>
        </w:rPr>
        <w:t xml:space="preserve"> (3)</w:t>
      </w:r>
      <w:r>
        <w:rPr>
          <w:rFonts w:cs="Times New Roman"/>
          <w:vertAlign w:val="superscript"/>
        </w:rPr>
        <w:t xml:space="preserve"> </w:t>
      </w:r>
    </w:p>
    <w:p w14:paraId="644CF585">
      <w:pPr>
        <w:spacing w:line="240" w:lineRule="auto"/>
        <w:ind w:firstLine="0"/>
        <w:jc w:val="center"/>
        <w:rPr>
          <w:rFonts w:cs="Times New Roman"/>
          <w:bCs/>
          <w:szCs w:val="28"/>
        </w:rPr>
      </w:pPr>
      <w:r>
        <w:rPr>
          <w:rFonts w:hint="default" w:cs="Times New Roman"/>
          <w:vertAlign w:val="superscript"/>
          <w:lang w:val="en-US"/>
        </w:rPr>
        <w:t>1, 2, 3</w:t>
      </w:r>
      <w:r>
        <w:rPr>
          <w:rFonts w:cs="Times New Roman"/>
        </w:rPr>
        <w:t>Pendidikan Guru Sekolah Dasar, F</w:t>
      </w:r>
      <w:r>
        <w:rPr>
          <w:rFonts w:hint="default" w:cs="Times New Roman"/>
          <w:lang w:val="en-US"/>
        </w:rPr>
        <w:t xml:space="preserve">akultas Keguruan dan Ilmu Pendidikan, </w:t>
      </w:r>
      <w:r>
        <w:rPr>
          <w:rFonts w:cs="Times New Roman"/>
        </w:rPr>
        <w:br w:type="textWrapping"/>
      </w:r>
      <w:r>
        <w:rPr>
          <w:rFonts w:cs="Times New Roman"/>
          <w:bCs/>
          <w:szCs w:val="28"/>
        </w:rPr>
        <w:t>Universitas Quality</w:t>
      </w:r>
    </w:p>
    <w:p w14:paraId="4FDF59CC">
      <w:pPr>
        <w:spacing w:line="240" w:lineRule="auto"/>
        <w:ind w:firstLine="0"/>
        <w:jc w:val="center"/>
        <w:rPr>
          <w:rFonts w:cs="Times New Roman"/>
          <w:vertAlign w:val="superscript"/>
        </w:rPr>
      </w:pPr>
      <w:r>
        <w:rPr>
          <w:rFonts w:cs="Times New Roman"/>
          <w:bCs/>
          <w:szCs w:val="28"/>
        </w:rPr>
        <w:t xml:space="preserve"> Jl. Ngumban Surbakti No. 18, Sempakata, Kec. Medan Selayang, Kota Medan, </w:t>
      </w:r>
      <w:r>
        <w:rPr>
          <w:rFonts w:cs="Times New Roman"/>
          <w:bCs/>
          <w:szCs w:val="28"/>
        </w:rPr>
        <w:br w:type="textWrapping"/>
      </w:r>
      <w:r>
        <w:rPr>
          <w:rFonts w:cs="Times New Roman"/>
          <w:bCs/>
          <w:szCs w:val="28"/>
        </w:rPr>
        <w:t>Sumatera Utara 20132</w:t>
      </w:r>
    </w:p>
    <w:p w14:paraId="3B3454D9">
      <w:pPr>
        <w:spacing w:line="240" w:lineRule="auto"/>
        <w:ind w:firstLine="0"/>
        <w:jc w:val="center"/>
        <w:rPr>
          <w:rFonts w:cs="Times New Roman"/>
        </w:rPr>
      </w:pPr>
      <w:r>
        <w:fldChar w:fldCharType="begin"/>
      </w:r>
      <w:r>
        <w:instrText xml:space="preserve"> HYPERLINK "mailto:%20nurlitaapriliani9425@gmail.com,%20" </w:instrText>
      </w:r>
      <w:r>
        <w:fldChar w:fldCharType="separate"/>
      </w:r>
      <w:r>
        <w:rPr>
          <w:rStyle w:val="8"/>
        </w:rPr>
        <w:t xml:space="preserve"> nurlitaapriliani9425@gmail.com, </w:t>
      </w:r>
      <w:r>
        <w:rPr>
          <w:rStyle w:val="8"/>
        </w:rPr>
        <w:fldChar w:fldCharType="end"/>
      </w:r>
      <w:r>
        <w:fldChar w:fldCharType="begin"/>
      </w:r>
      <w:r>
        <w:instrText xml:space="preserve"> HYPERLINK "mailto:sejahtera021@gmail.com" </w:instrText>
      </w:r>
      <w:r>
        <w:fldChar w:fldCharType="separate"/>
      </w:r>
      <w:r>
        <w:rPr>
          <w:rStyle w:val="8"/>
        </w:rPr>
        <w:t>sejahtera021@gmail.com</w:t>
      </w:r>
      <w:r>
        <w:rPr>
          <w:rStyle w:val="8"/>
        </w:rPr>
        <w:fldChar w:fldCharType="end"/>
      </w:r>
      <w:r>
        <w:t xml:space="preserve">, </w:t>
      </w:r>
      <w:r>
        <w:fldChar w:fldCharType="begin"/>
      </w:r>
      <w:r>
        <w:instrText xml:space="preserve"> HYPERLINK "mailto:Gmail%20Dospem%20II@gmail.com" </w:instrText>
      </w:r>
      <w:r>
        <w:fldChar w:fldCharType="separate"/>
      </w:r>
      <w:r>
        <w:rPr>
          <w:rStyle w:val="8"/>
        </w:rPr>
        <w:t xml:space="preserve">restiosidebang@gmail.com </w:t>
      </w:r>
      <w:r>
        <w:rPr>
          <w:rStyle w:val="8"/>
        </w:rPr>
        <w:fldChar w:fldCharType="end"/>
      </w:r>
      <w:r>
        <w:t xml:space="preserve">  </w:t>
      </w:r>
    </w:p>
    <w:p w14:paraId="5307FAB3">
      <w:pPr>
        <w:ind w:firstLine="0"/>
        <w:jc w:val="center"/>
        <w:rPr>
          <w:rFonts w:cs="Times New Roman"/>
        </w:rPr>
      </w:pPr>
    </w:p>
    <w:p w14:paraId="1EB30AAE">
      <w:pPr>
        <w:spacing w:after="240"/>
        <w:ind w:firstLine="0"/>
        <w:jc w:val="center"/>
        <w:rPr>
          <w:rFonts w:cs="Times New Roman"/>
        </w:rPr>
      </w:pPr>
      <w:r>
        <w:rPr>
          <w:rFonts w:cs="Times New Roman"/>
        </w:rPr>
        <w:t>ABSTRAK</w:t>
      </w:r>
    </w:p>
    <w:p w14:paraId="4F649C2C">
      <w:pPr>
        <w:spacing w:line="240" w:lineRule="auto"/>
        <w:ind w:firstLine="0"/>
        <w:rPr>
          <w:rFonts w:cs="Times New Roman"/>
        </w:rPr>
      </w:pPr>
      <w:r>
        <w:t>Penelitian ini termasuk dalam jenis penelitian eksperimen semu (</w:t>
      </w:r>
      <w:r>
        <w:rPr>
          <w:rStyle w:val="5"/>
        </w:rPr>
        <w:t>quasi-experimental</w:t>
      </w:r>
      <w:r>
        <w:t xml:space="preserve">) yang bertujuan untuk mengetahui pengaruh penerapan model pembelajaran </w:t>
      </w:r>
      <w:r>
        <w:rPr>
          <w:rStyle w:val="5"/>
        </w:rPr>
        <w:t>Game Based Learning</w:t>
      </w:r>
      <w:r>
        <w:t xml:space="preserve"> terhadap hasil belajar siswa pada mata pelajaran IPAS kelas IV UPT SDN 060930 Medan Johor Tahun Ajaran 2025/2026. Penelitian ini menggunakan desain </w:t>
      </w:r>
      <w:r>
        <w:rPr>
          <w:rStyle w:val="5"/>
        </w:rPr>
        <w:t>pretest-posttest control group design</w:t>
      </w:r>
      <w:r>
        <w:t xml:space="preserve"> dengan jumlah sampel sebanyak 31 siswa. Kelas IVA yang terdiri atas 17 siswa ditetapkan sebagai kelas eksperimen dan diberikan pembelajaran menggunakan model </w:t>
      </w:r>
      <w:r>
        <w:rPr>
          <w:rStyle w:val="5"/>
        </w:rPr>
        <w:t>Game Based Learning</w:t>
      </w:r>
      <w:r>
        <w:t xml:space="preserve">, sedangkan kelas IVB yang berjumlah 14 siswa sebagai kelas kontrol diberikan pembelajaran dengan model pembelajaran konvensional. Berdasarkan hasil perlakuan yang diberikan, diperoleh bahwa hasil belajar siswa pada kelas eksperimen lebih tinggi yaitu 86,03 dibandingkan dengan hasil belajar siswa pada kelas kontrol yaitu 77,32. Data hasil belajar selanjutnya dianalisis melalui uji normalitas dan uji homogenitas sebagai prasyarat analisis. Hasil pengujian menunjukkan bahwa data berdistribusi normal dan memiliki varians yang homogen, sehingga pengujian hipotesis dapat dilanjutkan menggunakan uji-t. Hasil uji hipotesis menunjukkan adanya pengaruh yang signifikan model pembelajaran </w:t>
      </w:r>
      <w:r>
        <w:rPr>
          <w:rStyle w:val="5"/>
        </w:rPr>
        <w:t>Game Based Learning</w:t>
      </w:r>
      <w:r>
        <w:t xml:space="preserve"> terhadap hasil belajar siswa pada mata pelajaran IPAS kelas IV UPT SDN 060930 Medan Johor Tahun Ajaran 2025/2026, dengan nilai t</w:t>
      </w:r>
      <w:r>
        <w:rPr>
          <w:vertAlign w:val="subscript"/>
        </w:rPr>
        <w:t>hitung</w:t>
      </w:r>
      <w:r>
        <w:t xml:space="preserve"> = 6,347 dan t</w:t>
      </w:r>
      <w:r>
        <w:rPr>
          <w:vertAlign w:val="subscript"/>
        </w:rPr>
        <w:t>tabel</w:t>
      </w:r>
      <w:r>
        <w:t xml:space="preserve"> = 2,045, sehingga t</w:t>
      </w:r>
      <w:r>
        <w:rPr>
          <w:vertAlign w:val="subscript"/>
        </w:rPr>
        <w:t>hitung</w:t>
      </w:r>
      <w:r>
        <w:t xml:space="preserve"> &gt; t</w:t>
      </w:r>
      <w:r>
        <w:rPr>
          <w:vertAlign w:val="subscript"/>
        </w:rPr>
        <w:t>tabel</w:t>
      </w:r>
      <w:r>
        <w:t xml:space="preserve"> dan hipotesis alternatif diterima.</w:t>
      </w:r>
    </w:p>
    <w:p w14:paraId="5CFE0049">
      <w:pPr>
        <w:spacing w:line="240" w:lineRule="auto"/>
        <w:ind w:firstLine="0"/>
        <w:rPr>
          <w:rFonts w:cs="Times New Roman"/>
          <w:b/>
          <w:bCs/>
          <w:szCs w:val="24"/>
        </w:rPr>
      </w:pPr>
      <w:r>
        <w:rPr>
          <w:rFonts w:cs="Times New Roman"/>
          <w:b/>
          <w:bCs/>
          <w:szCs w:val="24"/>
        </w:rPr>
        <w:t xml:space="preserve">Kata Kunci : </w:t>
      </w:r>
      <w:r>
        <w:rPr>
          <w:rFonts w:cs="Times New Roman"/>
          <w:b/>
          <w:bCs/>
          <w:i/>
          <w:iCs/>
          <w:szCs w:val="24"/>
        </w:rPr>
        <w:t>Game Based Learning</w:t>
      </w:r>
      <w:r>
        <w:rPr>
          <w:rFonts w:cs="Times New Roman"/>
          <w:b/>
          <w:bCs/>
          <w:szCs w:val="24"/>
        </w:rPr>
        <w:t>, Hasil Belajar, IPAS.</w:t>
      </w:r>
    </w:p>
    <w:p w14:paraId="2B16C6DC">
      <w:pPr>
        <w:spacing w:line="240" w:lineRule="auto"/>
        <w:ind w:firstLine="0"/>
        <w:rPr>
          <w:rFonts w:cs="Times New Roman"/>
        </w:rPr>
      </w:pPr>
    </w:p>
    <w:p w14:paraId="5EF795B9">
      <w:pPr>
        <w:spacing w:line="240" w:lineRule="auto"/>
        <w:ind w:firstLine="0"/>
        <w:rPr>
          <w:rFonts w:cs="Times New Roman"/>
        </w:rPr>
      </w:pPr>
    </w:p>
    <w:p w14:paraId="5A75D9BC">
      <w:pPr>
        <w:spacing w:before="240" w:after="240"/>
        <w:jc w:val="center"/>
        <w:rPr>
          <w:rFonts w:cs="Times New Roman"/>
          <w:bCs/>
          <w:sz w:val="28"/>
          <w:szCs w:val="28"/>
        </w:rPr>
      </w:pPr>
      <w:r>
        <w:rPr>
          <w:rFonts w:cs="Times New Roman"/>
          <w:bCs/>
          <w:szCs w:val="28"/>
        </w:rPr>
        <w:t>ABSTRACT</w:t>
      </w:r>
    </w:p>
    <w:p w14:paraId="5D49210A">
      <w:pPr>
        <w:spacing w:line="240" w:lineRule="auto"/>
        <w:ind w:firstLine="0"/>
        <w:rPr>
          <w:rFonts w:cs="Times New Roman"/>
          <w:b/>
          <w:bCs/>
        </w:rPr>
      </w:pPr>
      <w:r>
        <w:rPr>
          <w:i/>
        </w:rPr>
        <w:t>This study is classified as a quasi-experimental research aimed at determining the effect of the implementation of the Game Based Learning model on students’ learning outcomes in the IPAS subject for grade IV at UPT SDN 060930 Medan Johor in the Academic Year 2025/2026. The research employed a pretest-posttest control group design with a total sample of 31 students. Class IVA, consisting of 17 students, was assigned as the experimental class and received instruction using the Game Based Learning model, while class IVB, consisting of 14 students, was designated as the control class and received instruction using a conventional learning model. Based on the results of the treatment, it was found that the learning outcomes of students in the experimental class were higher, with an average score of 86.03, compared to the control class, which obtained an average score of 77.32. The learning outcome data were then analyzed using normality tests and homogeneity tests as prerequisite analyses. The results indicated that the data were normally distributed and had homogeneous variances; therefore, hypothesis testing was continued using the t-test. The results of the hypothesis testing showed that there was a significant effect of the Game Based Learning model on students’ learning outcomes in the IPAS subject for grade IV at UPT SDN 060930 Medan Johor in the Academic Year 2025/2026, with t</w:t>
      </w:r>
      <w:r>
        <w:rPr>
          <w:i/>
          <w:vertAlign w:val="subscript"/>
        </w:rPr>
        <w:t>calculated</w:t>
      </w:r>
      <w:r>
        <w:rPr>
          <w:i/>
        </w:rPr>
        <w:t xml:space="preserve"> = 6.347 and t</w:t>
      </w:r>
      <w:r>
        <w:rPr>
          <w:i/>
          <w:vertAlign w:val="subscript"/>
        </w:rPr>
        <w:t>table</w:t>
      </w:r>
      <w:r>
        <w:rPr>
          <w:i/>
        </w:rPr>
        <w:t xml:space="preserve"> = 2.045, indicating that t</w:t>
      </w:r>
      <w:r>
        <w:rPr>
          <w:i/>
          <w:vertAlign w:val="subscript"/>
        </w:rPr>
        <w:t>calculated</w:t>
      </w:r>
      <w:r>
        <w:rPr>
          <w:i/>
        </w:rPr>
        <w:t xml:space="preserve"> &gt; t</w:t>
      </w:r>
      <w:r>
        <w:rPr>
          <w:i/>
          <w:vertAlign w:val="subscript"/>
        </w:rPr>
        <w:t>table</w:t>
      </w:r>
      <w:r>
        <w:rPr>
          <w:i/>
        </w:rPr>
        <w:t xml:space="preserve"> and the alternative hypothesis was accepted.</w:t>
      </w:r>
    </w:p>
    <w:p w14:paraId="725D8F43">
      <w:pPr>
        <w:spacing w:line="240" w:lineRule="auto"/>
        <w:ind w:firstLine="0"/>
        <w:rPr>
          <w:rFonts w:cs="Times New Roman"/>
          <w:bCs/>
          <w:szCs w:val="28"/>
        </w:rPr>
      </w:pPr>
      <w:r>
        <w:rPr>
          <w:rFonts w:cs="Times New Roman"/>
          <w:b/>
          <w:bCs/>
          <w:i/>
          <w:lang w:val="id-ID"/>
        </w:rPr>
        <w:t>Keywords:</w:t>
      </w:r>
      <w:r>
        <w:rPr>
          <w:rFonts w:cs="Times New Roman"/>
          <w:b/>
          <w:bCs/>
          <w:i/>
        </w:rPr>
        <w:t xml:space="preserve"> Game Based Learning, Learning Outcomes, IPAS</w:t>
      </w:r>
    </w:p>
    <w:p w14:paraId="77F426FB">
      <w:pPr>
        <w:ind w:firstLine="0"/>
        <w:rPr>
          <w:rFonts w:cs="Times New Roman"/>
          <w:b/>
          <w:bCs/>
          <w:sz w:val="28"/>
          <w:szCs w:val="28"/>
        </w:rPr>
      </w:pPr>
    </w:p>
    <w:p w14:paraId="11D14B01">
      <w:pPr>
        <w:ind w:firstLine="0"/>
        <w:rPr>
          <w:rFonts w:cs="Times New Roman"/>
          <w:b/>
          <w:bCs/>
          <w:szCs w:val="28"/>
        </w:rPr>
      </w:pPr>
      <w:r>
        <w:rPr>
          <w:rFonts w:cs="Times New Roman"/>
          <w:b/>
          <w:bCs/>
          <w:szCs w:val="28"/>
        </w:rPr>
        <w:t>PENDAHULUAN</w:t>
      </w:r>
    </w:p>
    <w:p w14:paraId="55C806FA">
      <w:pPr>
        <w:ind w:left="0" w:leftChars="0" w:firstLine="720" w:firstLineChars="0"/>
      </w:pPr>
      <w:r>
        <w:t>Dalam proses pendidikan, pembelajaran merupakan inti yang menentukan berhasil tidaknya pencapaian tujuan pendidikan. Pembelajaran dapat dipahami sebagai interaksi antara guru, peserta didik, dan sumber belajar pada suatu lingkungan belajar. Guru berperan sebagai fasilitator yang membantu siswa dalam membangun pemahaman, sedangkan siswa dituntut untuk aktif dalam menemukan, mengkonstruksi, dan mengaplikasikan pengetahuan. Namun, kenyataannya, praktik pembelajaran di sekolah masih didominasi oleh pendekatan konvensional yang berpusat pada guru. Hal ini sering kali mengurangi kesempatan siswa untuk berpikir kritis, kreatif, dan berpartisipasi aktif dalam proses belajar. Akibatnya, pembelajaran cenderung membosankan, motivasi siswa rendah, dan hasil belajar tidak mencapai target yang diharapkan.</w:t>
      </w:r>
    </w:p>
    <w:p w14:paraId="57206D3E">
      <w:pPr>
        <w:ind w:left="0" w:leftChars="0" w:firstLine="720" w:firstLineChars="0"/>
      </w:pPr>
      <w:r>
        <w:rPr>
          <w:bCs/>
        </w:rPr>
        <w:t>Hasil belajar</w:t>
      </w:r>
      <w:r>
        <w:t xml:space="preserve"> sendiri merupakan salah satu indikator utama keberhasilan pembelajaran. Menurut Pramusinta dan Faizah (2022:7), hasil belajar merupakan kemampuan yang diperoleh peserta didik setelah menjalani proses pembelajaran di sekolah yang menimbulkan perubahan dalam pengetahuan, keterampilan, serta sikap. Hasil belajar mencakup aspek kognitif, afektif, dan psikomotorik yang menunjukkan sejauh mana siswa telah memahami, menguasai, serta mampu mengaplikasikan pengetahuan dan keterampilan yang diperoleh. </w:t>
      </w:r>
    </w:p>
    <w:p w14:paraId="7A508B5C">
      <w:pPr>
        <w:ind w:left="0" w:leftChars="0" w:firstLine="720" w:firstLineChars="0"/>
      </w:pPr>
      <w:r>
        <w:t xml:space="preserve">Berdasarkan </w:t>
      </w:r>
      <w:r>
        <w:rPr>
          <w:bCs/>
        </w:rPr>
        <w:t>observasi awal</w:t>
      </w:r>
      <w:r>
        <w:t xml:space="preserve"> yang dilakukan peneliti di kelas IV UPT SDN 060930 Medan Johor, ditemukan bahwa siswa kurang bersemangat dalam mengikuti pembelajaran IPAS. Ketika guru menggunakan metode ceramah, banyak siswa terlihat pasif, bahkan sebagian mengalami kesulitan dalam memahami materi. Selain itu, hasil ulangan harian menunjukkan sebagian besar siswa memperoleh nilai di bawah Kriteria Ketercapaian Tujuan Pembelajaran (KKTP). </w:t>
      </w:r>
    </w:p>
    <w:p w14:paraId="52F20CB1">
      <w:pPr>
        <w:ind w:left="1077" w:hanging="1077"/>
        <w:rPr>
          <w:b/>
        </w:rPr>
      </w:pPr>
      <w:r>
        <w:rPr>
          <w:b/>
        </w:rPr>
        <w:t>Tabel 1.1 Hasil Belajar Siswa Kelas IV UPT SDN 060930 Medan Johor T.A 2025/2026</w:t>
      </w:r>
    </w:p>
    <w:tbl>
      <w:tblPr>
        <w:tblStyle w:val="9"/>
        <w:tblW w:w="84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791"/>
        <w:gridCol w:w="992"/>
        <w:gridCol w:w="942"/>
        <w:gridCol w:w="896"/>
        <w:gridCol w:w="1311"/>
        <w:gridCol w:w="917"/>
        <w:gridCol w:w="1421"/>
      </w:tblGrid>
      <w:tr w14:paraId="5C26D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218" w:type="dxa"/>
            <w:vAlign w:val="center"/>
          </w:tcPr>
          <w:p w14:paraId="6E6F8C34">
            <w:pPr>
              <w:spacing w:line="240" w:lineRule="auto"/>
              <w:ind w:firstLine="0"/>
              <w:jc w:val="center"/>
              <w:rPr>
                <w:b/>
              </w:rPr>
            </w:pPr>
            <w:r>
              <w:rPr>
                <w:b/>
              </w:rPr>
              <w:t>Mata Pelajaran</w:t>
            </w:r>
          </w:p>
        </w:tc>
        <w:tc>
          <w:tcPr>
            <w:tcW w:w="791" w:type="dxa"/>
            <w:vMerge w:val="restart"/>
            <w:vAlign w:val="center"/>
          </w:tcPr>
          <w:p w14:paraId="709AF12A">
            <w:pPr>
              <w:spacing w:line="240" w:lineRule="auto"/>
              <w:ind w:firstLine="0"/>
              <w:jc w:val="center"/>
              <w:rPr>
                <w:b/>
              </w:rPr>
            </w:pPr>
            <w:r>
              <w:rPr>
                <w:b/>
              </w:rPr>
              <w:t>Kelas</w:t>
            </w:r>
          </w:p>
        </w:tc>
        <w:tc>
          <w:tcPr>
            <w:tcW w:w="992" w:type="dxa"/>
            <w:vMerge w:val="restart"/>
            <w:vAlign w:val="center"/>
          </w:tcPr>
          <w:p w14:paraId="40EA8351">
            <w:pPr>
              <w:spacing w:line="240" w:lineRule="auto"/>
              <w:ind w:firstLine="0"/>
              <w:jc w:val="center"/>
              <w:rPr>
                <w:b/>
              </w:rPr>
            </w:pPr>
            <w:r>
              <w:rPr>
                <w:b/>
              </w:rPr>
              <w:t>Jumlah Siswa</w:t>
            </w:r>
          </w:p>
        </w:tc>
        <w:tc>
          <w:tcPr>
            <w:tcW w:w="942" w:type="dxa"/>
            <w:vMerge w:val="restart"/>
            <w:vAlign w:val="center"/>
          </w:tcPr>
          <w:p w14:paraId="1E41EDB9">
            <w:pPr>
              <w:spacing w:line="240" w:lineRule="auto"/>
              <w:ind w:firstLine="0"/>
              <w:jc w:val="center"/>
              <w:rPr>
                <w:b/>
              </w:rPr>
            </w:pPr>
            <w:r>
              <w:rPr>
                <w:b/>
              </w:rPr>
              <w:t>KKTP</w:t>
            </w:r>
          </w:p>
        </w:tc>
        <w:tc>
          <w:tcPr>
            <w:tcW w:w="2207" w:type="dxa"/>
            <w:gridSpan w:val="2"/>
            <w:vAlign w:val="center"/>
          </w:tcPr>
          <w:p w14:paraId="0B008AF5">
            <w:pPr>
              <w:spacing w:line="240" w:lineRule="auto"/>
              <w:ind w:firstLine="0"/>
              <w:jc w:val="center"/>
              <w:rPr>
                <w:b/>
              </w:rPr>
            </w:pPr>
            <w:r>
              <w:rPr>
                <w:b/>
              </w:rPr>
              <w:t>Tuntas</w:t>
            </w:r>
          </w:p>
        </w:tc>
        <w:tc>
          <w:tcPr>
            <w:tcW w:w="2337" w:type="dxa"/>
            <w:gridSpan w:val="2"/>
            <w:vAlign w:val="center"/>
          </w:tcPr>
          <w:p w14:paraId="1B8A500A">
            <w:pPr>
              <w:spacing w:line="240" w:lineRule="auto"/>
              <w:ind w:firstLine="0"/>
              <w:jc w:val="center"/>
              <w:rPr>
                <w:b/>
              </w:rPr>
            </w:pPr>
            <w:r>
              <w:rPr>
                <w:b/>
              </w:rPr>
              <w:t>Tidak Tuntas</w:t>
            </w:r>
          </w:p>
        </w:tc>
      </w:tr>
      <w:tr w14:paraId="2A1BD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218" w:type="dxa"/>
            <w:vMerge w:val="restart"/>
            <w:vAlign w:val="center"/>
          </w:tcPr>
          <w:p w14:paraId="6D2B4317">
            <w:pPr>
              <w:spacing w:line="240" w:lineRule="auto"/>
              <w:ind w:firstLine="0"/>
              <w:jc w:val="center"/>
              <w:rPr>
                <w:b/>
              </w:rPr>
            </w:pPr>
            <w:r>
              <w:rPr>
                <w:b/>
              </w:rPr>
              <w:t>IPAS</w:t>
            </w:r>
          </w:p>
        </w:tc>
        <w:tc>
          <w:tcPr>
            <w:tcW w:w="791" w:type="dxa"/>
            <w:vMerge w:val="continue"/>
          </w:tcPr>
          <w:p w14:paraId="6F1E316D">
            <w:pPr>
              <w:spacing w:line="240" w:lineRule="auto"/>
              <w:ind w:firstLine="0"/>
              <w:rPr>
                <w:b/>
              </w:rPr>
            </w:pPr>
          </w:p>
        </w:tc>
        <w:tc>
          <w:tcPr>
            <w:tcW w:w="992" w:type="dxa"/>
            <w:vMerge w:val="continue"/>
          </w:tcPr>
          <w:p w14:paraId="393E59E4">
            <w:pPr>
              <w:spacing w:line="240" w:lineRule="auto"/>
              <w:ind w:firstLine="0"/>
              <w:rPr>
                <w:b/>
              </w:rPr>
            </w:pPr>
          </w:p>
        </w:tc>
        <w:tc>
          <w:tcPr>
            <w:tcW w:w="942" w:type="dxa"/>
            <w:vMerge w:val="continue"/>
          </w:tcPr>
          <w:p w14:paraId="55ECBC1A">
            <w:pPr>
              <w:spacing w:line="240" w:lineRule="auto"/>
              <w:ind w:firstLine="0"/>
              <w:rPr>
                <w:b/>
              </w:rPr>
            </w:pPr>
          </w:p>
        </w:tc>
        <w:tc>
          <w:tcPr>
            <w:tcW w:w="896" w:type="dxa"/>
          </w:tcPr>
          <w:p w14:paraId="0DE7BF10">
            <w:pPr>
              <w:spacing w:line="240" w:lineRule="auto"/>
              <w:ind w:firstLine="0"/>
              <w:rPr>
                <w:b/>
              </w:rPr>
            </w:pPr>
            <w:r>
              <w:rPr>
                <w:rFonts w:cs="Times New Roman"/>
                <w:b/>
              </w:rPr>
              <w:t>≥</w:t>
            </w:r>
            <w:r>
              <w:rPr>
                <w:b/>
              </w:rPr>
              <w:t xml:space="preserve"> 70</w:t>
            </w:r>
          </w:p>
        </w:tc>
        <w:tc>
          <w:tcPr>
            <w:tcW w:w="1311" w:type="dxa"/>
          </w:tcPr>
          <w:p w14:paraId="42EE42FD">
            <w:pPr>
              <w:spacing w:line="240" w:lineRule="auto"/>
              <w:ind w:firstLine="0"/>
              <w:rPr>
                <w:b/>
              </w:rPr>
            </w:pPr>
            <w:r>
              <w:rPr>
                <w:b/>
              </w:rPr>
              <w:t>Persentase</w:t>
            </w:r>
          </w:p>
        </w:tc>
        <w:tc>
          <w:tcPr>
            <w:tcW w:w="917" w:type="dxa"/>
          </w:tcPr>
          <w:p w14:paraId="03D361E9">
            <w:pPr>
              <w:spacing w:line="240" w:lineRule="auto"/>
              <w:ind w:firstLine="0"/>
              <w:rPr>
                <w:b/>
              </w:rPr>
            </w:pPr>
            <w:r>
              <w:rPr>
                <w:rFonts w:cs="Times New Roman"/>
                <w:b/>
              </w:rPr>
              <w:t>≥</w:t>
            </w:r>
            <w:r>
              <w:rPr>
                <w:b/>
              </w:rPr>
              <w:t xml:space="preserve"> 70</w:t>
            </w:r>
          </w:p>
        </w:tc>
        <w:tc>
          <w:tcPr>
            <w:tcW w:w="1421" w:type="dxa"/>
          </w:tcPr>
          <w:p w14:paraId="50D09FB5">
            <w:pPr>
              <w:spacing w:line="240" w:lineRule="auto"/>
              <w:ind w:firstLine="0"/>
              <w:rPr>
                <w:b/>
              </w:rPr>
            </w:pPr>
            <w:r>
              <w:rPr>
                <w:b/>
              </w:rPr>
              <w:t>Persentase</w:t>
            </w:r>
          </w:p>
        </w:tc>
      </w:tr>
      <w:tr w14:paraId="2A17C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218" w:type="dxa"/>
            <w:vMerge w:val="continue"/>
          </w:tcPr>
          <w:p w14:paraId="414019A7">
            <w:pPr>
              <w:spacing w:line="240" w:lineRule="auto"/>
              <w:ind w:firstLine="0"/>
              <w:rPr>
                <w:b/>
              </w:rPr>
            </w:pPr>
          </w:p>
        </w:tc>
        <w:tc>
          <w:tcPr>
            <w:tcW w:w="791" w:type="dxa"/>
            <w:vAlign w:val="center"/>
          </w:tcPr>
          <w:p w14:paraId="16C901BE">
            <w:pPr>
              <w:spacing w:line="240" w:lineRule="auto"/>
              <w:ind w:firstLine="0"/>
              <w:jc w:val="center"/>
            </w:pPr>
            <w:r>
              <w:t>IVA</w:t>
            </w:r>
          </w:p>
        </w:tc>
        <w:tc>
          <w:tcPr>
            <w:tcW w:w="992" w:type="dxa"/>
            <w:vAlign w:val="center"/>
          </w:tcPr>
          <w:p w14:paraId="624574A3">
            <w:pPr>
              <w:spacing w:line="240" w:lineRule="auto"/>
              <w:ind w:firstLine="0"/>
              <w:jc w:val="center"/>
            </w:pPr>
            <w:r>
              <w:t>17 Siswa</w:t>
            </w:r>
          </w:p>
        </w:tc>
        <w:tc>
          <w:tcPr>
            <w:tcW w:w="942" w:type="dxa"/>
            <w:vMerge w:val="restart"/>
            <w:vAlign w:val="center"/>
          </w:tcPr>
          <w:p w14:paraId="1BDB5041">
            <w:pPr>
              <w:spacing w:line="240" w:lineRule="auto"/>
              <w:ind w:firstLine="0"/>
              <w:jc w:val="center"/>
              <w:rPr>
                <w:b/>
              </w:rPr>
            </w:pPr>
            <w:r>
              <w:rPr>
                <w:b/>
              </w:rPr>
              <w:t>70</w:t>
            </w:r>
          </w:p>
        </w:tc>
        <w:tc>
          <w:tcPr>
            <w:tcW w:w="896" w:type="dxa"/>
            <w:vAlign w:val="center"/>
          </w:tcPr>
          <w:p w14:paraId="11711CC7">
            <w:pPr>
              <w:spacing w:line="240" w:lineRule="auto"/>
              <w:ind w:firstLine="0"/>
              <w:jc w:val="center"/>
            </w:pPr>
            <w:r>
              <w:t>7 Siswa</w:t>
            </w:r>
          </w:p>
        </w:tc>
        <w:tc>
          <w:tcPr>
            <w:tcW w:w="1311" w:type="dxa"/>
            <w:vAlign w:val="center"/>
          </w:tcPr>
          <w:p w14:paraId="51941DC0">
            <w:pPr>
              <w:spacing w:line="240" w:lineRule="auto"/>
              <w:ind w:firstLine="0"/>
              <w:jc w:val="center"/>
              <w:rPr>
                <w:b/>
              </w:rPr>
            </w:pPr>
            <w:r>
              <w:rPr>
                <w:b/>
              </w:rPr>
              <w:t>41,18 %</w:t>
            </w:r>
          </w:p>
        </w:tc>
        <w:tc>
          <w:tcPr>
            <w:tcW w:w="917" w:type="dxa"/>
            <w:vAlign w:val="center"/>
          </w:tcPr>
          <w:p w14:paraId="3A68A178">
            <w:pPr>
              <w:spacing w:line="240" w:lineRule="auto"/>
              <w:ind w:firstLine="0"/>
              <w:jc w:val="center"/>
            </w:pPr>
            <w:r>
              <w:t>10 Siswa</w:t>
            </w:r>
          </w:p>
        </w:tc>
        <w:tc>
          <w:tcPr>
            <w:tcW w:w="1421" w:type="dxa"/>
            <w:vAlign w:val="center"/>
          </w:tcPr>
          <w:p w14:paraId="3C05F81E">
            <w:pPr>
              <w:spacing w:line="240" w:lineRule="auto"/>
              <w:ind w:firstLine="0"/>
              <w:jc w:val="center"/>
              <w:rPr>
                <w:b/>
              </w:rPr>
            </w:pPr>
            <w:r>
              <w:rPr>
                <w:b/>
              </w:rPr>
              <w:t>58,82 %</w:t>
            </w:r>
          </w:p>
        </w:tc>
      </w:tr>
      <w:tr w14:paraId="333B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218" w:type="dxa"/>
            <w:vMerge w:val="continue"/>
          </w:tcPr>
          <w:p w14:paraId="33D909E5">
            <w:pPr>
              <w:spacing w:line="240" w:lineRule="auto"/>
              <w:ind w:firstLine="0"/>
              <w:rPr>
                <w:b/>
              </w:rPr>
            </w:pPr>
          </w:p>
        </w:tc>
        <w:tc>
          <w:tcPr>
            <w:tcW w:w="791" w:type="dxa"/>
            <w:vAlign w:val="center"/>
          </w:tcPr>
          <w:p w14:paraId="1EF2E87A">
            <w:pPr>
              <w:spacing w:line="240" w:lineRule="auto"/>
              <w:ind w:firstLine="0"/>
              <w:jc w:val="center"/>
            </w:pPr>
            <w:r>
              <w:t>IVB</w:t>
            </w:r>
          </w:p>
        </w:tc>
        <w:tc>
          <w:tcPr>
            <w:tcW w:w="992" w:type="dxa"/>
            <w:vAlign w:val="center"/>
          </w:tcPr>
          <w:p w14:paraId="76F4A02B">
            <w:pPr>
              <w:spacing w:line="240" w:lineRule="auto"/>
              <w:ind w:firstLine="0"/>
              <w:jc w:val="center"/>
            </w:pPr>
            <w:r>
              <w:t>14 Siswa</w:t>
            </w:r>
          </w:p>
        </w:tc>
        <w:tc>
          <w:tcPr>
            <w:tcW w:w="942" w:type="dxa"/>
            <w:vMerge w:val="continue"/>
          </w:tcPr>
          <w:p w14:paraId="429C7CF2">
            <w:pPr>
              <w:spacing w:line="240" w:lineRule="auto"/>
              <w:ind w:firstLine="0"/>
              <w:rPr>
                <w:b/>
              </w:rPr>
            </w:pPr>
          </w:p>
        </w:tc>
        <w:tc>
          <w:tcPr>
            <w:tcW w:w="896" w:type="dxa"/>
            <w:vAlign w:val="center"/>
          </w:tcPr>
          <w:p w14:paraId="5F7727FD">
            <w:pPr>
              <w:spacing w:line="240" w:lineRule="auto"/>
              <w:ind w:firstLine="0"/>
              <w:jc w:val="center"/>
            </w:pPr>
            <w:r>
              <w:t>7 Siswa</w:t>
            </w:r>
          </w:p>
        </w:tc>
        <w:tc>
          <w:tcPr>
            <w:tcW w:w="1311" w:type="dxa"/>
            <w:vAlign w:val="center"/>
          </w:tcPr>
          <w:p w14:paraId="4EAB2BAA">
            <w:pPr>
              <w:spacing w:line="240" w:lineRule="auto"/>
              <w:ind w:firstLine="0"/>
              <w:jc w:val="center"/>
              <w:rPr>
                <w:b/>
              </w:rPr>
            </w:pPr>
            <w:r>
              <w:rPr>
                <w:b/>
              </w:rPr>
              <w:t>50 %</w:t>
            </w:r>
          </w:p>
        </w:tc>
        <w:tc>
          <w:tcPr>
            <w:tcW w:w="917" w:type="dxa"/>
            <w:vAlign w:val="center"/>
          </w:tcPr>
          <w:p w14:paraId="7E49A6F3">
            <w:pPr>
              <w:spacing w:line="240" w:lineRule="auto"/>
              <w:ind w:firstLine="0"/>
              <w:jc w:val="center"/>
            </w:pPr>
            <w:r>
              <w:t>7 Siswa</w:t>
            </w:r>
          </w:p>
        </w:tc>
        <w:tc>
          <w:tcPr>
            <w:tcW w:w="1421" w:type="dxa"/>
            <w:vAlign w:val="center"/>
          </w:tcPr>
          <w:p w14:paraId="25CC00FA">
            <w:pPr>
              <w:spacing w:line="240" w:lineRule="auto"/>
              <w:ind w:firstLine="0"/>
              <w:jc w:val="center"/>
              <w:rPr>
                <w:b/>
              </w:rPr>
            </w:pPr>
            <w:r>
              <w:rPr>
                <w:b/>
              </w:rPr>
              <w:t>50 %</w:t>
            </w:r>
          </w:p>
        </w:tc>
      </w:tr>
    </w:tbl>
    <w:p w14:paraId="5C9F4F1E">
      <w:pPr>
        <w:ind w:firstLine="0"/>
        <w:rPr>
          <w:i/>
        </w:rPr>
      </w:pPr>
      <w:r>
        <w:rPr>
          <w:i/>
        </w:rPr>
        <w:t>Sumber : Guru Kelas IV UPT SDN 060930 Medan Johor</w:t>
      </w:r>
    </w:p>
    <w:p w14:paraId="3030F608">
      <w:pPr>
        <w:ind w:left="0" w:leftChars="0" w:firstLine="720" w:firstLineChars="0"/>
      </w:pPr>
      <w:r>
        <w:t xml:space="preserve">Berdasarkan tabel di atas dapat dilihat bahwa hasil belajar siswa kelas IV UPT SDN 060930 Medan Johor pada mata pelajaran IPAS masih belum maksimal. Dari total 31 siswa yang terdiri atas kelas IVA dan IVB, hanya 14 siswa yang memenuhi kriteria ketuntasan tujuan pembelajaran (KKTP) dengan nilai ≥ 70, sedangkan 17 siswa lainnya belum mencapai KKTP. Hal ini menunjukkan bahwa mayoritas siswa di kedua kelas mengalami kesulitan dalam mencapai nilai yang sesuai dengan standar ketuntasan minimal. Kondisi ini menunjukkan bahwa pembelajaran yang dilakukan selama ini belum sepenuhnya efektif dalam meningkatkan hasil belajar. </w:t>
      </w:r>
    </w:p>
    <w:p w14:paraId="14762ACE">
      <w:pPr>
        <w:ind w:left="0" w:leftChars="0" w:firstLine="720" w:firstLineChars="0"/>
      </w:pPr>
      <w:r>
        <w:t xml:space="preserve">Salah satu faktor yang sangat menentukan keberhasilan pembelajaran adalah pemilihan </w:t>
      </w:r>
      <w:r>
        <w:rPr>
          <w:bCs/>
        </w:rPr>
        <w:t>model pembelajaran</w:t>
      </w:r>
      <w:r>
        <w:t xml:space="preserve">. Model pembelajaran merupakan kerangka konseptual yang menggambarkan prosedur sistematis dalam mengorganisasi pengalaman belajar untuk mencapai tujuan tertentu (Sarumaha., et al, 2023:10). Menurut Rahmaniati (2024:1), setiap model pembelajaran pastinya mempunyai paradigma yang berbeda satu sama lain, baik dari segi konsep, makna, maupun sudut pandang guru serta peserta didik. Guru yang mampu memilih model pembelajaran yang sesuai dengan karakteristik materi, kondisi siswa, dan tujuan pembelajaran akan lebih efektif dalam mencapai kompetensi yang diharapkan. </w:t>
      </w:r>
    </w:p>
    <w:p w14:paraId="093C7D47">
      <w:pPr>
        <w:ind w:left="0" w:leftChars="0" w:firstLine="720" w:firstLineChars="0"/>
      </w:pPr>
      <w:r>
        <w:t xml:space="preserve">Salah satu pendekatan inovatif yang semakin banyak dikembangkan adalah </w:t>
      </w:r>
      <w:r>
        <w:rPr>
          <w:bCs/>
          <w:i/>
        </w:rPr>
        <w:t>Game Based Learning</w:t>
      </w:r>
      <w:r>
        <w:rPr>
          <w:bCs/>
        </w:rPr>
        <w:t xml:space="preserve"> (GBL)</w:t>
      </w:r>
      <w:r>
        <w:t>. GBL merupakan model pembelajaran yang mengintegrasikan unsur-unsur permainan (</w:t>
      </w:r>
      <w:r>
        <w:rPr>
          <w:i/>
        </w:rPr>
        <w:t>game</w:t>
      </w:r>
      <w:r>
        <w:t>) dalam proses belajar mengajar untuk meningkatkan keterlibatan, motivasi, dan pemahaman siswa terhadap materi. Prinsip GBL adalah menjadikan pembelajaran sebagai aktivitas yang menyenangkan, menantang, dan bermakna, sehingga siswa terdorong untuk berpartisipasi aktif. Menurut teori konstruktivisme, pengetahuan akan lebih mudah dipahami apabila siswa terlibat langsung dalam proses menemukan, mencoba, dan merefleksikan pengalaman belajar. Dengan adanya unsur permainan, siswa tidak hanya belajar secara kognitif, tetapi juga mengembangkan keterampilan sosial, emosional, dan kolaboratif.</w:t>
      </w:r>
    </w:p>
    <w:p w14:paraId="7CFE33DB">
      <w:pPr>
        <w:ind w:left="0" w:leftChars="0" w:firstLine="720" w:firstLineChars="0"/>
      </w:pPr>
      <w:r>
        <w:t>Mata pelajaran Ilmu Pengetahuan Alam dan Sosial (IPAS) di kelas IV memiliki peran penting karena mengajarkan siswa untuk memahami keterkaitan antara fenomena alam dengan kehidupan sosial sehari-hari. Pembelajaran IPAS seharusnya dapat melatih kemampuan berpikir kritis, rasa ingin tahu, dan sikap ilmiah siswa melalui pengamatan, percobaan, serta diskusi kelompok. Namun kenyataannya, proses pembelajaran IPAS di kelas IV UPT SDN 060930 Medan Johor masih cenderung bersifat teoritis dan berpusat pada guru. Akibatnya, siswa kurang memperoleh pengalaman belajar yang kontekstual dan bermakna, sehingga pemahaman terhadap konsep-konsep IPAS menjadi terbatas. Hal ini berdampak langsung pada kurang maksimalnya hasil belajar yang dicapai siswa.</w:t>
      </w:r>
    </w:p>
    <w:p w14:paraId="5E042102">
      <w:pPr>
        <w:ind w:left="0" w:leftChars="0" w:firstLine="720" w:firstLineChars="0"/>
      </w:pPr>
      <w:r>
        <w:t xml:space="preserve">Berdasarkan pemaparan permasalahan tersebut, salah satu </w:t>
      </w:r>
      <w:r>
        <w:rPr>
          <w:bCs/>
        </w:rPr>
        <w:t>solusi</w:t>
      </w:r>
      <w:r>
        <w:t xml:space="preserve"> yang dapat ditawarkan adalah dengan menerapkan model </w:t>
      </w:r>
      <w:r>
        <w:rPr>
          <w:i/>
        </w:rPr>
        <w:t>Game Based Learning</w:t>
      </w:r>
      <w:r>
        <w:t>. Dengan memanfaatkan permainan sebagai media belajar, siswa akan merasa lebih tertarik, aktif, dan termotivasi. Model ini tidak hanya membuat pembelajaran menjadi lebih hidup, tetapi juga mampu meningkatkan interaksi antar siswa, memperkuat pemahaman konsep, serta mendorong siswa untuk mencapai hasil belajar yang lebih baik.</w:t>
      </w:r>
    </w:p>
    <w:p w14:paraId="5E43C260">
      <w:pPr>
        <w:ind w:left="0" w:leftChars="0" w:firstLine="720" w:firstLineChars="0"/>
      </w:pPr>
      <w:r>
        <w:t xml:space="preserve">Sejumlah </w:t>
      </w:r>
      <w:r>
        <w:rPr>
          <w:bCs/>
        </w:rPr>
        <w:t>penelitian terdahulu</w:t>
      </w:r>
      <w:r>
        <w:t xml:space="preserve"> juga mendukung efektivitas penggunaan GBL. Misalnya, penelitian yang dilakukan oleh Anggraini, Muzayanah, dan Daru (2024:3728) menunjukkan bahwa Model pembelajaran </w:t>
      </w:r>
      <w:r>
        <w:rPr>
          <w:rStyle w:val="5"/>
        </w:rPr>
        <w:t>game based learning</w:t>
      </w:r>
      <w:r>
        <w:t xml:space="preserve"> memiliki pengaruh yang besar dan mampu meningkatkan hasil belajar peserta didik karena beberapa sintaks dari model </w:t>
      </w:r>
      <w:r>
        <w:rPr>
          <w:rStyle w:val="5"/>
        </w:rPr>
        <w:t>game based learning</w:t>
      </w:r>
      <w:r>
        <w:t xml:space="preserve"> bersifat menarik, menyenangkan, serta dapat melatih kreativitas. Penelitian serupa oleh Wulandari dan Hasim (2025:496) menemukan bahwa Model Pembelajaran </w:t>
      </w:r>
      <w:r>
        <w:rPr>
          <w:rStyle w:val="5"/>
        </w:rPr>
        <w:t>Games Based Learning</w:t>
      </w:r>
      <w:r>
        <w:t xml:space="preserve"> mampu memfasilitasi siswa dalam memahami pembelajaran dengan cara yang lebih mudah serta menyenangkan, sehingga berdampak pada peningkatan hasil belajar mereka. </w:t>
      </w:r>
    </w:p>
    <w:p w14:paraId="7F42793E">
      <w:pPr>
        <w:ind w:firstLine="720"/>
      </w:pPr>
      <w:r>
        <w:t xml:space="preserve">Berdasarkan pertimbangan urgensi permasalahan, hasil observasi awal, serta temuan penelitian terdahulu, peneliti merasa perlu untuk melakukan penelitian lebih lanjut mengenai penerapan model pembelajaran </w:t>
      </w:r>
      <w:r>
        <w:rPr>
          <w:i/>
        </w:rPr>
        <w:t>Game Based Learning</w:t>
      </w:r>
      <w:r>
        <w:t xml:space="preserve"> dengan judul “Pengaruh Model Pembelajaran </w:t>
      </w:r>
      <w:r>
        <w:rPr>
          <w:i/>
        </w:rPr>
        <w:t xml:space="preserve">Game Based Learning </w:t>
      </w:r>
      <w:r>
        <w:t>Terhadap Hasil Belajar Siswa Pada Mata Pelajaran IPAS Kelas IV UPT SDN 060930 Medan Johor T.A 2025/2026”.</w:t>
      </w:r>
    </w:p>
    <w:p w14:paraId="6851CFDB">
      <w:pPr>
        <w:ind w:firstLine="0"/>
        <w:rPr>
          <w:lang w:val="id"/>
        </w:rPr>
      </w:pPr>
      <w:r>
        <w:rPr>
          <w:lang w:val="id"/>
        </w:rPr>
        <w:tab/>
      </w:r>
    </w:p>
    <w:p w14:paraId="054EE3B0">
      <w:pPr>
        <w:ind w:firstLine="0"/>
        <w:rPr>
          <w:b/>
          <w:lang w:val="id"/>
        </w:rPr>
      </w:pPr>
      <w:r>
        <w:rPr>
          <w:b/>
          <w:lang w:val="id"/>
        </w:rPr>
        <w:t>METODE</w:t>
      </w:r>
    </w:p>
    <w:p w14:paraId="0AD5CB58">
      <w:pPr>
        <w:ind w:firstLine="720"/>
        <w:rPr>
          <w:rFonts w:eastAsia="Calibri" w:cs="Times New Roman"/>
          <w:szCs w:val="24"/>
        </w:rPr>
      </w:pPr>
      <w:r>
        <w:rPr>
          <w:rFonts w:eastAsia="Calibri" w:cs="Times New Roman"/>
          <w:szCs w:val="24"/>
        </w:rPr>
        <w:t xml:space="preserve">Desain penelitian yang digunakan adalah </w:t>
      </w:r>
      <w:r>
        <w:rPr>
          <w:rFonts w:eastAsia="Calibri" w:cs="Times New Roman"/>
          <w:i/>
          <w:szCs w:val="24"/>
        </w:rPr>
        <w:t>pretest-posttest control group design</w:t>
      </w:r>
      <w:r>
        <w:rPr>
          <w:rFonts w:eastAsia="Calibri" w:cs="Times New Roman"/>
          <w:szCs w:val="24"/>
        </w:rPr>
        <w:t xml:space="preserve">. Teknik pengambilan sampel dilakukan dengan cara sampling jenuh, karena seluruh populasi dijadikan sampel penelitian. Dalam penelitian ini, sampel berjumlah dua kelas yang terdiri dari kelas IVA dan kelas IVB dengan jumlah total 31 siswa. Kelas IVA sebagai kelas eksperimen merupakan kelas yang diberikan perlakuan menggunakan model pembelajaran </w:t>
      </w:r>
      <w:r>
        <w:rPr>
          <w:rFonts w:eastAsia="Calibri" w:cs="Times New Roman"/>
          <w:i/>
          <w:szCs w:val="24"/>
        </w:rPr>
        <w:t>Game Based Learning</w:t>
      </w:r>
      <w:r>
        <w:rPr>
          <w:rFonts w:eastAsia="Calibri" w:cs="Times New Roman"/>
          <w:szCs w:val="24"/>
        </w:rPr>
        <w:t>, sedangkan kelas IVB sebagai kelas kontrol yaitu kelas yang tidak diberikan perlakuan dan menggunakan model pembelajaran konvensional.</w:t>
      </w:r>
    </w:p>
    <w:p w14:paraId="087696D0">
      <w:pPr>
        <w:ind w:firstLine="720"/>
        <w:rPr>
          <w:rFonts w:cs="Times New Roman" w:eastAsiaTheme="minorEastAsia"/>
          <w:szCs w:val="24"/>
          <w:lang w:val="id"/>
        </w:rPr>
      </w:pPr>
      <w:r>
        <w:rPr>
          <w:rFonts w:eastAsia="Calibri" w:cs="Times New Roman"/>
          <w:szCs w:val="24"/>
        </w:rPr>
        <w:t xml:space="preserve">Instrumen yang digunakan berupa tes essay yang terdiri dari 10 soal yang diberikan dalam bentuk pretest dan posttest untuk mengukur hasil belajar siswa pada mata pelajaran IPAS materi Wujud Zat dan Perubahannya. Data yang diperoleh kemudian dianalisis melalui uji normalitas, uji homogenitas, dan uji hipotesis menggunakan uji-t dengan taraf signifikansi 0,05 untuk mengetahui pengaruh model pembelajaran </w:t>
      </w:r>
      <w:r>
        <w:rPr>
          <w:rFonts w:eastAsia="Calibri" w:cs="Times New Roman"/>
          <w:i/>
          <w:szCs w:val="24"/>
        </w:rPr>
        <w:t>Game Based Learning</w:t>
      </w:r>
      <w:r>
        <w:rPr>
          <w:rFonts w:eastAsia="Calibri" w:cs="Times New Roman"/>
          <w:szCs w:val="24"/>
        </w:rPr>
        <w:t xml:space="preserve"> terhadap hasil belajar siswa.. </w:t>
      </w:r>
    </w:p>
    <w:p w14:paraId="7CBEE4B0">
      <w:pPr>
        <w:ind w:firstLine="0"/>
        <w:rPr>
          <w:rFonts w:cs="Times New Roman" w:eastAsiaTheme="minorEastAsia"/>
          <w:szCs w:val="24"/>
          <w:lang w:val="id"/>
        </w:rPr>
      </w:pPr>
    </w:p>
    <w:p w14:paraId="00CBD6E6">
      <w:pPr>
        <w:ind w:firstLine="0"/>
        <w:rPr>
          <w:rFonts w:cs="Times New Roman" w:eastAsiaTheme="minorEastAsia"/>
          <w:b/>
          <w:szCs w:val="24"/>
          <w:lang w:val="id"/>
        </w:rPr>
      </w:pPr>
      <w:r>
        <w:rPr>
          <w:rFonts w:cs="Times New Roman" w:eastAsiaTheme="minorEastAsia"/>
          <w:b/>
          <w:szCs w:val="24"/>
          <w:lang w:val="id"/>
        </w:rPr>
        <w:t>HASIL DAN PEMBAHASAN</w:t>
      </w:r>
    </w:p>
    <w:p w14:paraId="6BFC732A">
      <w:pPr>
        <w:ind w:left="0" w:leftChars="0" w:firstLine="720" w:firstLineChars="0"/>
        <w:rPr>
          <w:rFonts w:cs="Times New Roman"/>
          <w:szCs w:val="24"/>
        </w:rPr>
      </w:pPr>
      <w:r>
        <w:rPr>
          <w:rFonts w:cs="Times New Roman"/>
          <w:szCs w:val="24"/>
        </w:rPr>
        <w:t>Penelitian ini dilaksanakan di kelas IV UPT SDN 060930 Medan Johor Tahun Ajaran 2025/2026. Penelitian ini menggunakan metode penelitian kuantitatif dengan jenis penelitian eksperimen semu (</w:t>
      </w:r>
      <w:r>
        <w:rPr>
          <w:rFonts w:cs="Times New Roman"/>
          <w:i/>
          <w:iCs/>
          <w:szCs w:val="24"/>
        </w:rPr>
        <w:t>quasi-experimental</w:t>
      </w:r>
      <w:r>
        <w:rPr>
          <w:rFonts w:cs="Times New Roman"/>
          <w:szCs w:val="24"/>
        </w:rPr>
        <w:t xml:space="preserve">). Desain penelitian yang digunakan adalah </w:t>
      </w:r>
      <w:r>
        <w:rPr>
          <w:rFonts w:cs="Times New Roman"/>
          <w:i/>
          <w:iCs/>
          <w:szCs w:val="24"/>
        </w:rPr>
        <w:t>pretest-posttest control group design</w:t>
      </w:r>
      <w:r>
        <w:rPr>
          <w:rFonts w:cs="Times New Roman"/>
          <w:szCs w:val="24"/>
        </w:rPr>
        <w:t xml:space="preserve">. Sampel dalam penelitian ini adalah siswa kelas IVA yang berjumlah 17 siswa dan siswa kelas IVB yang berjumlah 14 siswa. Penelitian ini bertujuan untuk mengetahui pengaruh model pembelajaran </w:t>
      </w:r>
      <w:r>
        <w:rPr>
          <w:rFonts w:cs="Times New Roman"/>
          <w:i/>
          <w:iCs/>
          <w:szCs w:val="24"/>
        </w:rPr>
        <w:t>Game Based Learning</w:t>
      </w:r>
      <w:r>
        <w:rPr>
          <w:rFonts w:cs="Times New Roman"/>
          <w:szCs w:val="24"/>
        </w:rPr>
        <w:t xml:space="preserve"> terhadap hasil belajar siswa pada mata pelajaran IPAS kelas IV UPT SDN 060930 Medan Johor T.A 2025/2026.</w:t>
      </w:r>
    </w:p>
    <w:p w14:paraId="66C72A80">
      <w:pPr>
        <w:ind w:left="0" w:leftChars="0" w:firstLine="720" w:firstLineChars="0"/>
        <w:rPr>
          <w:rFonts w:cs="Times New Roman"/>
          <w:szCs w:val="24"/>
        </w:rPr>
      </w:pPr>
      <w:r>
        <w:rPr>
          <w:rFonts w:cs="Times New Roman"/>
          <w:szCs w:val="24"/>
        </w:rPr>
        <w:t xml:space="preserve">Sebelum peneliti memberikan perlakuan terhadap kedua kelas, terlebih dahulu peneliti memberikan pretest kepada siswa kelas IVA dan kelas IVB untuk mengetahui kemampuan awal siswa pada mata pelajaran IPAS materi Wujud Zat dan Perubahannya. Berdasarkan data hasil pretest yang telah dianalisis, diperoleh nilai rata-rata pretest siswa kelas IVA sebesar 52,79 dan nilai rata-rata pretest siswa kelas IVB sebesar 52,86. Nilai rata-rata pretest kedua kelas tersebut menunjukkan bahwa kemampuan awal siswa relatif sama. Oleh karena itu, peneliti menetapkan kelas IVA sebagai kelas eksperimen dan kelas IVB sebagai kelas kontrol. Kelas IVA selaku kelas eksperimen diberikan perlakuan berupa pembelajaran menggunakan model pembelajaran </w:t>
      </w:r>
      <w:r>
        <w:rPr>
          <w:rFonts w:cs="Times New Roman"/>
          <w:i/>
          <w:iCs/>
          <w:szCs w:val="24"/>
        </w:rPr>
        <w:t>Game Based Learning</w:t>
      </w:r>
      <w:r>
        <w:rPr>
          <w:rFonts w:cs="Times New Roman"/>
          <w:szCs w:val="24"/>
        </w:rPr>
        <w:t>, sedangkan kelas IVB selaku kelas kontrol diberikan perlakuan berupa pembelajaran menggunakan model pembelajaran konvensional pada materi yang sama, yaitu Wujud Zat dan Perubahannya.</w:t>
      </w:r>
    </w:p>
    <w:p w14:paraId="1212EE90">
      <w:pPr>
        <w:ind w:left="0" w:leftChars="0" w:firstLine="720" w:firstLineChars="0"/>
        <w:rPr>
          <w:rFonts w:cs="Times New Roman"/>
          <w:szCs w:val="24"/>
        </w:rPr>
      </w:pPr>
      <w:r>
        <w:rPr>
          <w:rFonts w:cs="Times New Roman"/>
          <w:szCs w:val="24"/>
        </w:rPr>
        <w:t xml:space="preserve">Setelah kedua kelas diberikan perlakuan yang berbeda, peneliti selanjutnya memberikan posttest kepada siswa untuk mengetahui hasil belajar siswa setelah proses pembelajaran berlangsung. Berdasarkan data hasil posttest yang diperoleh, diketahui bahwa nilai rata-rata posttest siswa kelas IVA selaku kelas eksperimen adalah sebesar 86,03. Sementara itu, nilai rata-rata posttest siswa kelas IVB selaku kelas kontrol adalah sebesar 77,32. Berdasarkan hasil tersebut dapat disimpulkan bahwa hasil belajar siswa kelas IV UPT SDN 060930 Medan Johor T.A 2025/2026 yang menerima pembelajaran menggunakan model </w:t>
      </w:r>
      <w:r>
        <w:rPr>
          <w:rFonts w:cs="Times New Roman"/>
          <w:i/>
          <w:iCs/>
          <w:szCs w:val="24"/>
        </w:rPr>
        <w:t>Game Based Learning</w:t>
      </w:r>
      <w:r>
        <w:rPr>
          <w:rFonts w:cs="Times New Roman"/>
          <w:szCs w:val="24"/>
        </w:rPr>
        <w:t xml:space="preserve"> lebih tinggi dibandingkan dengan hasil belajar siswa yang menerima pembelajaran menggunakan model pembelajaran konvensional.</w:t>
      </w:r>
    </w:p>
    <w:p w14:paraId="5117C1DA">
      <w:pPr>
        <w:ind w:left="0" w:leftChars="0" w:firstLine="720" w:firstLineChars="0"/>
        <w:rPr>
          <w:rFonts w:cs="Times New Roman"/>
          <w:szCs w:val="24"/>
        </w:rPr>
      </w:pPr>
      <w:r>
        <w:rPr>
          <w:rFonts w:cs="Times New Roman"/>
          <w:szCs w:val="24"/>
        </w:rPr>
        <w:t>Data hasil belajar pretest dan posttest yang diperoleh kemudian dianalisis menggunakan uji normalitas data dengan rumus Lilliefors untuk mengetahui apakah data hasil belajar siswa berdistribusi normal atau tidak. Kriteria yang digunakan dalam uji normalitas adalah data berdistribusi normal apabila nilai L</w:t>
      </w:r>
      <w:r>
        <w:rPr>
          <w:rFonts w:cs="Times New Roman"/>
          <w:szCs w:val="24"/>
          <w:vertAlign w:val="subscript"/>
        </w:rPr>
        <w:t>hitung</w:t>
      </w:r>
      <w:r>
        <w:rPr>
          <w:rFonts w:cs="Times New Roman"/>
          <w:szCs w:val="24"/>
        </w:rPr>
        <w:t xml:space="preserve"> lebih kecil daripada nilai L</w:t>
      </w:r>
      <w:r>
        <w:rPr>
          <w:rFonts w:cs="Times New Roman"/>
          <w:szCs w:val="24"/>
          <w:vertAlign w:val="subscript"/>
        </w:rPr>
        <w:t>tabel</w:t>
      </w:r>
      <w:r>
        <w:rPr>
          <w:rFonts w:cs="Times New Roman"/>
          <w:szCs w:val="24"/>
        </w:rPr>
        <w:t>. Berdasarkan hasil analisis diperoleh nilai L</w:t>
      </w:r>
      <w:r>
        <w:rPr>
          <w:rFonts w:cs="Times New Roman"/>
          <w:szCs w:val="24"/>
          <w:vertAlign w:val="subscript"/>
        </w:rPr>
        <w:t>hitung</w:t>
      </w:r>
      <w:r>
        <w:rPr>
          <w:rFonts w:cs="Times New Roman"/>
          <w:szCs w:val="24"/>
        </w:rPr>
        <w:t xml:space="preserve"> posttest kelas IVA sebesar 0,132 dan nilai L</w:t>
      </w:r>
      <w:r>
        <w:rPr>
          <w:rFonts w:cs="Times New Roman"/>
          <w:szCs w:val="24"/>
          <w:vertAlign w:val="subscript"/>
        </w:rPr>
        <w:t>tabel</w:t>
      </w:r>
      <w:r>
        <w:rPr>
          <w:rFonts w:cs="Times New Roman"/>
          <w:szCs w:val="24"/>
        </w:rPr>
        <w:t xml:space="preserve"> sebesar 0,206. Karena nilai L</w:t>
      </w:r>
      <w:r>
        <w:rPr>
          <w:rFonts w:cs="Times New Roman"/>
          <w:szCs w:val="24"/>
          <w:vertAlign w:val="subscript"/>
        </w:rPr>
        <w:t>hitung</w:t>
      </w:r>
      <w:r>
        <w:rPr>
          <w:rFonts w:cs="Times New Roman"/>
          <w:szCs w:val="24"/>
        </w:rPr>
        <w:t xml:space="preserve"> lebih kecil daripada nilai L</w:t>
      </w:r>
      <w:r>
        <w:rPr>
          <w:rFonts w:cs="Times New Roman"/>
          <w:szCs w:val="24"/>
          <w:vertAlign w:val="subscript"/>
        </w:rPr>
        <w:t>tabel</w:t>
      </w:r>
      <w:r>
        <w:rPr>
          <w:rFonts w:cs="Times New Roman"/>
          <w:szCs w:val="24"/>
        </w:rPr>
        <w:t xml:space="preserve"> (0,132 &lt; 0,206), maka data hasil belajar posttest kelas IVA dinyatakan berdistribusi normal. Hasil uji normalitas data posttest kelas IVB diperoleh nilai L</w:t>
      </w:r>
      <w:r>
        <w:rPr>
          <w:rFonts w:cs="Times New Roman"/>
          <w:szCs w:val="24"/>
          <w:vertAlign w:val="subscript"/>
        </w:rPr>
        <w:t>hitung</w:t>
      </w:r>
      <w:r>
        <w:rPr>
          <w:rFonts w:cs="Times New Roman"/>
          <w:szCs w:val="24"/>
        </w:rPr>
        <w:t xml:space="preserve"> sebesar 0,157 dan nilai L</w:t>
      </w:r>
      <w:r>
        <w:rPr>
          <w:rFonts w:cs="Times New Roman"/>
          <w:szCs w:val="24"/>
          <w:vertAlign w:val="subscript"/>
        </w:rPr>
        <w:t>tabel</w:t>
      </w:r>
      <w:r>
        <w:rPr>
          <w:rFonts w:cs="Times New Roman"/>
          <w:szCs w:val="24"/>
        </w:rPr>
        <w:t xml:space="preserve"> sebesar 0,227. Karena nilai L</w:t>
      </w:r>
      <w:r>
        <w:rPr>
          <w:rFonts w:cs="Times New Roman"/>
          <w:szCs w:val="24"/>
          <w:vertAlign w:val="subscript"/>
        </w:rPr>
        <w:t>hitung</w:t>
      </w:r>
      <w:r>
        <w:rPr>
          <w:rFonts w:cs="Times New Roman"/>
          <w:szCs w:val="24"/>
        </w:rPr>
        <w:t xml:space="preserve"> lebih kecil daripada nilai L</w:t>
      </w:r>
      <w:r>
        <w:rPr>
          <w:rFonts w:cs="Times New Roman"/>
          <w:szCs w:val="24"/>
          <w:vertAlign w:val="subscript"/>
        </w:rPr>
        <w:t>tabel</w:t>
      </w:r>
      <w:r>
        <w:rPr>
          <w:rFonts w:cs="Times New Roman"/>
          <w:szCs w:val="24"/>
        </w:rPr>
        <w:t xml:space="preserve"> (0,157 &lt; 0,227), maka data hasil belajar posttest kelas IVB dinyatakan berdistribusi normal. Dengan demikian, dapat disimpulkan bahwa seluruh data hasil belajar siswa pada kelas IVA dan IVB berdistribusi normal sehingga memenuhi syarat untuk dilakukan uji statistik selanjutnya.</w:t>
      </w:r>
    </w:p>
    <w:p w14:paraId="2A1B9C87">
      <w:pPr>
        <w:ind w:left="0" w:leftChars="0" w:firstLine="720" w:firstLineChars="0"/>
        <w:rPr>
          <w:rFonts w:cs="Times New Roman"/>
          <w:szCs w:val="24"/>
        </w:rPr>
      </w:pPr>
      <w:r>
        <w:rPr>
          <w:rFonts w:cs="Times New Roman"/>
          <w:szCs w:val="24"/>
        </w:rPr>
        <w:t>Setelah dilakukan uji normalitas, selanjutnya dilakukan uji homogenitas data untuk mengetahui apakah varians data dari kedua kelas bersifat homogen. Uji homogenitas dalam penelitian ini menggunakan uji F dengan kriteria data dikatakan homogen apabila nilai F</w:t>
      </w:r>
      <w:r>
        <w:rPr>
          <w:rFonts w:cs="Times New Roman"/>
          <w:szCs w:val="24"/>
          <w:vertAlign w:val="subscript"/>
        </w:rPr>
        <w:t>hitung</w:t>
      </w:r>
      <w:r>
        <w:rPr>
          <w:rFonts w:cs="Times New Roman"/>
          <w:szCs w:val="24"/>
        </w:rPr>
        <w:t xml:space="preserve"> lebih kecil daripada nilai F</w:t>
      </w:r>
      <w:r>
        <w:rPr>
          <w:rFonts w:cs="Times New Roman"/>
          <w:szCs w:val="24"/>
          <w:vertAlign w:val="subscript"/>
        </w:rPr>
        <w:t>tabel</w:t>
      </w:r>
      <w:r>
        <w:rPr>
          <w:rFonts w:cs="Times New Roman"/>
          <w:szCs w:val="24"/>
        </w:rPr>
        <w:t>. Berdasarkan hasil uji homogenitas data posttest kelas IVA dan IVB diperoleh nilai F</w:t>
      </w:r>
      <w:r>
        <w:rPr>
          <w:rFonts w:cs="Times New Roman"/>
          <w:szCs w:val="24"/>
          <w:vertAlign w:val="subscript"/>
        </w:rPr>
        <w:t>hitung</w:t>
      </w:r>
      <w:r>
        <w:rPr>
          <w:rFonts w:cs="Times New Roman"/>
          <w:szCs w:val="24"/>
        </w:rPr>
        <w:t xml:space="preserve"> sebesar 1,210 dan nilai F</w:t>
      </w:r>
      <w:r>
        <w:rPr>
          <w:rFonts w:cs="Times New Roman"/>
          <w:szCs w:val="24"/>
          <w:vertAlign w:val="subscript"/>
        </w:rPr>
        <w:t>tabel</w:t>
      </w:r>
      <w:r>
        <w:rPr>
          <w:rFonts w:cs="Times New Roman"/>
          <w:szCs w:val="24"/>
        </w:rPr>
        <w:t xml:space="preserve"> sebesar 2,515. Karena nilai F</w:t>
      </w:r>
      <w:r>
        <w:rPr>
          <w:rFonts w:cs="Times New Roman"/>
          <w:szCs w:val="24"/>
          <w:vertAlign w:val="subscript"/>
        </w:rPr>
        <w:t>hitung</w:t>
      </w:r>
      <w:r>
        <w:rPr>
          <w:rFonts w:cs="Times New Roman"/>
          <w:szCs w:val="24"/>
        </w:rPr>
        <w:t xml:space="preserve"> lebih kecil daripada nilai F</w:t>
      </w:r>
      <w:r>
        <w:rPr>
          <w:rFonts w:cs="Times New Roman"/>
          <w:szCs w:val="24"/>
          <w:vertAlign w:val="subscript"/>
        </w:rPr>
        <w:t>tabel</w:t>
      </w:r>
      <w:r>
        <w:rPr>
          <w:rFonts w:cs="Times New Roman"/>
          <w:szCs w:val="24"/>
        </w:rPr>
        <w:t xml:space="preserve"> (1,210 &lt; 2,515), maka data hasil belajar posttest kelas IVA dan IVB dinyatakan homogen.</w:t>
      </w:r>
    </w:p>
    <w:p w14:paraId="4A7E9992">
      <w:pPr>
        <w:ind w:left="0" w:leftChars="0" w:firstLine="720" w:firstLineChars="0"/>
        <w:rPr>
          <w:rFonts w:cs="Times New Roman"/>
          <w:szCs w:val="24"/>
        </w:rPr>
      </w:pPr>
      <w:r>
        <w:rPr>
          <w:rFonts w:cs="Times New Roman"/>
          <w:szCs w:val="24"/>
        </w:rPr>
        <w:t>Setelah data dinyatakan berdistribusi normal dan homogen, maka selanjutnya dilakukan pengujian hipotesis menggunakan uji-t dua sampel independen (</w:t>
      </w:r>
      <w:r>
        <w:rPr>
          <w:rFonts w:cs="Times New Roman"/>
          <w:i/>
          <w:iCs/>
          <w:szCs w:val="24"/>
        </w:rPr>
        <w:t>Independent Sample t-Test</w:t>
      </w:r>
      <w:r>
        <w:rPr>
          <w:rFonts w:cs="Times New Roman"/>
          <w:szCs w:val="24"/>
        </w:rPr>
        <w:t>) dengan asumsi varians kedua kelompok sama (</w:t>
      </w:r>
      <w:r>
        <w:rPr>
          <w:rFonts w:cs="Times New Roman"/>
          <w:i/>
          <w:iCs/>
          <w:szCs w:val="24"/>
        </w:rPr>
        <w:t>Equal Variances</w:t>
      </w:r>
      <w:r>
        <w:rPr>
          <w:rFonts w:cs="Times New Roman"/>
          <w:szCs w:val="24"/>
        </w:rPr>
        <w:t>). Pengujian hipotesis dilakukan dengan bantuan aplikasi Microsoft Excel 2010. Berdasarkan hasil pengujian diperoleh nilai t</w:t>
      </w:r>
      <w:r>
        <w:rPr>
          <w:rFonts w:cs="Times New Roman"/>
          <w:szCs w:val="24"/>
          <w:vertAlign w:val="subscript"/>
        </w:rPr>
        <w:t>hitung</w:t>
      </w:r>
      <w:r>
        <w:rPr>
          <w:rFonts w:cs="Times New Roman"/>
          <w:szCs w:val="24"/>
        </w:rPr>
        <w:t xml:space="preserve"> sebesar 6,347 dan nilai t</w:t>
      </w:r>
      <w:r>
        <w:rPr>
          <w:rFonts w:cs="Times New Roman"/>
          <w:szCs w:val="24"/>
          <w:vertAlign w:val="subscript"/>
        </w:rPr>
        <w:t>tabel</w:t>
      </w:r>
      <w:r>
        <w:rPr>
          <w:rFonts w:cs="Times New Roman"/>
          <w:szCs w:val="24"/>
        </w:rPr>
        <w:t xml:space="preserve"> sebesar 2,045 pada taraf signifikansi 5%. Karena nilai t</w:t>
      </w:r>
      <w:r>
        <w:rPr>
          <w:rFonts w:cs="Times New Roman"/>
          <w:szCs w:val="24"/>
          <w:vertAlign w:val="subscript"/>
        </w:rPr>
        <w:t>hitung</w:t>
      </w:r>
      <w:r>
        <w:rPr>
          <w:rFonts w:cs="Times New Roman"/>
          <w:szCs w:val="24"/>
        </w:rPr>
        <w:t xml:space="preserve"> lebih besar daripada nilai t</w:t>
      </w:r>
      <w:r>
        <w:rPr>
          <w:rFonts w:cs="Times New Roman"/>
          <w:szCs w:val="24"/>
          <w:vertAlign w:val="subscript"/>
        </w:rPr>
        <w:t>tabel</w:t>
      </w:r>
      <w:r>
        <w:rPr>
          <w:rFonts w:cs="Times New Roman"/>
          <w:szCs w:val="24"/>
        </w:rPr>
        <w:t xml:space="preserve"> (6,347 &gt; 2,045), maka H₀ ditolak dan Hₐ diterima. Dengan demikian dapat disimpulkan bahwa terdapat pengaruh yang signifikan penggunaan model pembelajaran </w:t>
      </w:r>
      <w:r>
        <w:rPr>
          <w:rFonts w:cs="Times New Roman"/>
          <w:i/>
          <w:iCs/>
          <w:szCs w:val="24"/>
        </w:rPr>
        <w:t>Game Based Learning</w:t>
      </w:r>
      <w:r>
        <w:rPr>
          <w:rFonts w:cs="Times New Roman"/>
          <w:szCs w:val="24"/>
        </w:rPr>
        <w:t xml:space="preserve"> terhadap hasil belajar siswa pada mata pelajaran IPAS kelas IV UPT SDN 060930 Medan Johor T.A 2025/2026.</w:t>
      </w:r>
    </w:p>
    <w:p w14:paraId="5249EEAD">
      <w:pPr>
        <w:ind w:left="0" w:leftChars="0" w:firstLine="720" w:firstLineChars="0"/>
        <w:rPr>
          <w:rFonts w:cs="Times New Roman"/>
          <w:szCs w:val="24"/>
        </w:rPr>
      </w:pPr>
      <w:r>
        <w:rPr>
          <w:rFonts w:cs="Times New Roman"/>
          <w:szCs w:val="24"/>
        </w:rPr>
        <w:t xml:space="preserve">Hasil penelitian ini menunjukkan adanya pengaruh yang signifikan model pembelajaran </w:t>
      </w:r>
      <w:r>
        <w:rPr>
          <w:rFonts w:cs="Times New Roman"/>
          <w:i/>
          <w:iCs/>
          <w:szCs w:val="24"/>
        </w:rPr>
        <w:t>Game Based Learning</w:t>
      </w:r>
      <w:r>
        <w:rPr>
          <w:rFonts w:cs="Times New Roman"/>
          <w:szCs w:val="24"/>
        </w:rPr>
        <w:t xml:space="preserve"> terhadap hasil belajar siswa pada mata pelajaran IPAS. Hasil Penelitian ini </w:t>
      </w:r>
      <w:r>
        <w:rPr>
          <w:rFonts w:cs="Times New Roman"/>
          <w:bCs/>
          <w:szCs w:val="24"/>
        </w:rPr>
        <w:t>sejalan dengan penelitian yang dilakukan oleh Djamiri, Leasa, dan Talakua (2025)</w:t>
      </w:r>
      <w:r>
        <w:rPr>
          <w:rFonts w:cs="Times New Roman"/>
          <w:szCs w:val="24"/>
        </w:rPr>
        <w:t xml:space="preserve"> yang menemukan bahwa model </w:t>
      </w:r>
      <w:r>
        <w:rPr>
          <w:rFonts w:cs="Times New Roman"/>
          <w:i/>
          <w:iCs/>
          <w:szCs w:val="24"/>
        </w:rPr>
        <w:t>Game Based Learning</w:t>
      </w:r>
      <w:r>
        <w:rPr>
          <w:rFonts w:cs="Times New Roman"/>
          <w:szCs w:val="24"/>
        </w:rPr>
        <w:t xml:space="preserve"> berpengaruh terhadap hasil belajar serta retensi hasil belajar siswa kelas V MIS Al-Hudzaifah Dobo. Hasil penelitian tersebut menunjukkan bahwa penerapan </w:t>
      </w:r>
      <w:r>
        <w:rPr>
          <w:rFonts w:cs="Times New Roman"/>
          <w:i/>
          <w:iCs/>
          <w:szCs w:val="24"/>
        </w:rPr>
        <w:t>Game Based Learning</w:t>
      </w:r>
      <w:r>
        <w:rPr>
          <w:rFonts w:cs="Times New Roman"/>
          <w:szCs w:val="24"/>
        </w:rPr>
        <w:t xml:space="preserve"> terbukti memiliki dampak positif terhadap peningkatan hasil belajar siswa dibanding kelompok yang tidak diberi perlakuan serupa. </w:t>
      </w:r>
    </w:p>
    <w:p w14:paraId="0846300F">
      <w:pPr>
        <w:ind w:left="0" w:leftChars="0" w:firstLine="720" w:firstLineChars="0"/>
        <w:rPr>
          <w:rFonts w:cs="Times New Roman"/>
          <w:szCs w:val="24"/>
        </w:rPr>
      </w:pPr>
      <w:r>
        <w:rPr>
          <w:rFonts w:cs="Times New Roman"/>
          <w:szCs w:val="24"/>
        </w:rPr>
        <w:t xml:space="preserve">Selanjutnya, penelitian oleh Ria Rochmi Safitri dkk. (2025) juga relevan karena dalam </w:t>
      </w:r>
      <w:r>
        <w:rPr>
          <w:rFonts w:cs="Times New Roman"/>
          <w:i/>
          <w:iCs/>
          <w:szCs w:val="24"/>
        </w:rPr>
        <w:t>systematic review</w:t>
      </w:r>
      <w:r>
        <w:rPr>
          <w:rFonts w:cs="Times New Roman"/>
          <w:szCs w:val="24"/>
        </w:rPr>
        <w:t xml:space="preserve"> mereka ditemukan bahwa </w:t>
      </w:r>
      <w:r>
        <w:rPr>
          <w:rFonts w:cs="Times New Roman"/>
          <w:i/>
          <w:iCs/>
          <w:szCs w:val="24"/>
        </w:rPr>
        <w:t>Game Based Learning</w:t>
      </w:r>
      <w:r>
        <w:rPr>
          <w:rFonts w:cs="Times New Roman"/>
          <w:szCs w:val="24"/>
        </w:rPr>
        <w:t xml:space="preserve"> secara konsisten berkaitan dengan peningkatan kompetensi dan hasil belajar siswa dalam bidang sains, termasuk topik-topik yang mirip dengan materi yang digunakan dalam penelitian ini. Hal ini mendukung bahwa penggunaan </w:t>
      </w:r>
      <w:r>
        <w:rPr>
          <w:rFonts w:cs="Times New Roman"/>
          <w:i/>
          <w:iCs/>
          <w:szCs w:val="24"/>
        </w:rPr>
        <w:t>Game Based Learning</w:t>
      </w:r>
      <w:r>
        <w:rPr>
          <w:rFonts w:cs="Times New Roman"/>
          <w:szCs w:val="24"/>
        </w:rPr>
        <w:t xml:space="preserve"> berpengaruh terhadap hasil belajar siswa dalam konteks pembelajaran sains dasar. </w:t>
      </w:r>
    </w:p>
    <w:p w14:paraId="69ECE354">
      <w:pPr>
        <w:ind w:left="0" w:leftChars="0" w:firstLine="720" w:firstLineChars="0"/>
        <w:rPr>
          <w:rFonts w:cs="Times New Roman"/>
          <w:szCs w:val="24"/>
        </w:rPr>
      </w:pPr>
      <w:bookmarkStart w:id="0" w:name="_GoBack"/>
      <w:bookmarkEnd w:id="0"/>
      <w:r>
        <w:rPr>
          <w:rFonts w:cs="Times New Roman"/>
          <w:szCs w:val="24"/>
        </w:rPr>
        <w:t xml:space="preserve">Selain itu, penelitian yang dilakukan oleh Pranita dkk. (2025) mengenai penerapan </w:t>
      </w:r>
      <w:r>
        <w:rPr>
          <w:rFonts w:cs="Times New Roman"/>
          <w:i/>
          <w:iCs/>
          <w:szCs w:val="24"/>
        </w:rPr>
        <w:t>Game Based Learning</w:t>
      </w:r>
      <w:r>
        <w:rPr>
          <w:rFonts w:cs="Times New Roman"/>
          <w:szCs w:val="24"/>
        </w:rPr>
        <w:t xml:space="preserve"> dengan media </w:t>
      </w:r>
      <w:r>
        <w:rPr>
          <w:rFonts w:cs="Times New Roman"/>
          <w:i/>
          <w:iCs/>
          <w:szCs w:val="24"/>
        </w:rPr>
        <w:t>Tangkas Board</w:t>
      </w:r>
      <w:r>
        <w:rPr>
          <w:rFonts w:cs="Times New Roman"/>
          <w:szCs w:val="24"/>
        </w:rPr>
        <w:t xml:space="preserve"> di kelas III SDN 25 Pekanbaru menunjukkan bahwa penerapan </w:t>
      </w:r>
      <w:r>
        <w:rPr>
          <w:rFonts w:cs="Times New Roman"/>
          <w:i/>
          <w:iCs/>
          <w:szCs w:val="24"/>
        </w:rPr>
        <w:t>Game Based Learning</w:t>
      </w:r>
      <w:r>
        <w:rPr>
          <w:rFonts w:cs="Times New Roman"/>
          <w:szCs w:val="24"/>
        </w:rPr>
        <w:t xml:space="preserve"> secara signifikan mampu meningkatkan hasil belajar siswa dari pre-cycle ke cycle II, yang menunjukkan efektivitas model ini dalam konteks pembelajaran dasar. Penelitian terdahulu lainnya yang menunjukkan hasil serupa adalah studi yang dipublikasikan oleh Putri Nur Anggraini dkk. (2024) yang menemukan adanya pengaruh positif </w:t>
      </w:r>
      <w:r>
        <w:rPr>
          <w:rFonts w:cs="Times New Roman"/>
          <w:i/>
          <w:iCs/>
          <w:szCs w:val="24"/>
        </w:rPr>
        <w:t>Game Based Learning</w:t>
      </w:r>
      <w:r>
        <w:rPr>
          <w:rFonts w:cs="Times New Roman"/>
          <w:szCs w:val="24"/>
        </w:rPr>
        <w:t xml:space="preserve"> terhadap hasil belajar peserta didik pada materi keragaman sosial budaya menggunakan desain kuasi-eksperimen. Hasil penelitian tersebut menunjukkan rata-rata hasil belajar siswa di kelas eksperimen lebih tinggi dibandingkan kelas kontrol, sesuai dengan pola hasil pada penelitian ini. </w:t>
      </w:r>
    </w:p>
    <w:p w14:paraId="12649DAE">
      <w:pPr>
        <w:rPr>
          <w:rFonts w:cs="Times New Roman"/>
          <w:szCs w:val="24"/>
        </w:rPr>
      </w:pPr>
    </w:p>
    <w:p w14:paraId="478A4FF3">
      <w:pPr>
        <w:ind w:firstLine="0"/>
        <w:rPr>
          <w:rFonts w:cs="Times New Roman"/>
          <w:b/>
        </w:rPr>
      </w:pPr>
      <w:r>
        <w:rPr>
          <w:rFonts w:cs="Times New Roman"/>
          <w:b/>
        </w:rPr>
        <w:t>KESIMPULAN</w:t>
      </w:r>
    </w:p>
    <w:p w14:paraId="61B5B309">
      <w:pPr>
        <w:ind w:firstLine="720"/>
      </w:pPr>
      <w:r>
        <w:t>Berdasarkan hasil penelitian dan analisis data yang telah dilaksanakan di UPT SDN 060930 Medan Johor Tahun Ajaran 2025/2026, maka dapat disimpulkan sebagai berikut:</w:t>
      </w:r>
    </w:p>
    <w:p w14:paraId="58AD6AEE">
      <w:pPr>
        <w:pStyle w:val="10"/>
        <w:numPr>
          <w:ilvl w:val="1"/>
          <w:numId w:val="1"/>
        </w:numPr>
        <w:ind w:left="357" w:hanging="357"/>
      </w:pPr>
      <w:r>
        <w:t>Hasil belajar siswa yang mengikuti pembelajaran menggunakan model pembelajaran konvensional pada mata pelajaran IPAS kelas IV UPT SDN 060930 Medan Johor T.A 2025/2026 diperoleh nilai rata-rata sebesar 77,32. Berdasarkan kriteria kemampuan hasil belajar siswa, nilai tersebut berada pada rentang 71–85 dengan keterangan baik.</w:t>
      </w:r>
    </w:p>
    <w:p w14:paraId="4EC8EA78">
      <w:pPr>
        <w:pStyle w:val="10"/>
        <w:numPr>
          <w:ilvl w:val="1"/>
          <w:numId w:val="1"/>
        </w:numPr>
        <w:ind w:left="357" w:hanging="357"/>
      </w:pPr>
      <w:r>
        <w:t xml:space="preserve">Hasil belajar siswa yang mengikuti pembelajaran menggunakan model pembelajaran </w:t>
      </w:r>
      <w:r>
        <w:rPr>
          <w:i/>
        </w:rPr>
        <w:t>Game Based Learning</w:t>
      </w:r>
      <w:r>
        <w:t xml:space="preserve"> pada mata pelajaran IPAS kelas IV UPT SDN 060930 Medan Johor T.A 2025/2026 diperoleh nilai rata-rata sebesar 86,03. Berdasarkan kriteria kemampuan hasil belajar siswa, nilai tersebut berada pada rentang 86–100 dengan keterangan sangat baik. </w:t>
      </w:r>
    </w:p>
    <w:p w14:paraId="01F09C7D">
      <w:pPr>
        <w:pStyle w:val="10"/>
        <w:numPr>
          <w:ilvl w:val="1"/>
          <w:numId w:val="1"/>
        </w:numPr>
        <w:ind w:left="357" w:hanging="357"/>
      </w:pPr>
      <w:r>
        <w:t xml:space="preserve">Terdapat pengaruh yang signifikan penggunaan model pembelajaran </w:t>
      </w:r>
      <w:r>
        <w:rPr>
          <w:i/>
        </w:rPr>
        <w:t>Game Based Learning</w:t>
      </w:r>
      <w:r>
        <w:t xml:space="preserve"> terhadap hasil belajar siswa pada mata pelajaran IPAS kelas IV UPT SDN 060930 Medan Johor T.A 2025/2026, yang dibuktikan dengan hasil uji-t dimana nilai t</w:t>
      </w:r>
      <w:r>
        <w:rPr>
          <w:vertAlign w:val="subscript"/>
        </w:rPr>
        <w:t>hitung</w:t>
      </w:r>
      <w:r>
        <w:t xml:space="preserve"> &gt; t</w:t>
      </w:r>
      <w:r>
        <w:rPr>
          <w:vertAlign w:val="subscript"/>
        </w:rPr>
        <w:t>tabel</w:t>
      </w:r>
      <w:r>
        <w:t xml:space="preserve"> atau 6,347 &gt; 2,045.</w:t>
      </w:r>
    </w:p>
    <w:p w14:paraId="657E1784">
      <w:pPr>
        <w:pStyle w:val="10"/>
        <w:ind w:left="714" w:firstLine="0"/>
      </w:pPr>
    </w:p>
    <w:p w14:paraId="532B4D42">
      <w:pPr>
        <w:pStyle w:val="10"/>
        <w:ind w:left="714" w:firstLine="0"/>
      </w:pPr>
    </w:p>
    <w:p w14:paraId="4BDA8A5E">
      <w:pPr>
        <w:tabs>
          <w:tab w:val="center" w:pos="3969"/>
        </w:tabs>
        <w:ind w:firstLine="0"/>
        <w:rPr>
          <w:rFonts w:cs="Times New Roman"/>
          <w:b/>
        </w:rPr>
      </w:pPr>
      <w:r>
        <w:rPr>
          <w:rFonts w:cs="Times New Roman"/>
          <w:b/>
        </w:rPr>
        <w:t>DAFTAR PUSTAKA</w:t>
      </w:r>
      <w:r>
        <w:rPr>
          <w:rFonts w:cs="Times New Roman"/>
          <w:b/>
        </w:rPr>
        <w:tab/>
      </w:r>
    </w:p>
    <w:p w14:paraId="61CEEF50">
      <w:pPr>
        <w:autoSpaceDE w:val="0"/>
        <w:autoSpaceDN w:val="0"/>
        <w:adjustRightInd w:val="0"/>
        <w:spacing w:after="120" w:line="240" w:lineRule="auto"/>
        <w:ind w:left="720" w:hanging="72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 xml:space="preserve">Anggraini, PM., Muzayanah., Daru, SA. 2024. Pengaruh Game Based Learning terhadap Hasil Belajar pada Keragaman Sosial Budaya Masyarakat. </w:t>
      </w:r>
      <w:r>
        <w:rPr>
          <w:rFonts w:cs="Times New Roman"/>
          <w:i/>
          <w:color w:val="000000" w:themeColor="text1"/>
          <w:szCs w:val="24"/>
          <w14:textFill>
            <w14:solidFill>
              <w14:schemeClr w14:val="tx1"/>
            </w14:solidFill>
          </w14:textFill>
        </w:rPr>
        <w:t>Journal of Education Research</w:t>
      </w:r>
      <w:r>
        <w:rPr>
          <w:rFonts w:cs="Times New Roman"/>
          <w:color w:val="000000" w:themeColor="text1"/>
          <w:szCs w:val="24"/>
          <w14:textFill>
            <w14:solidFill>
              <w14:schemeClr w14:val="tx1"/>
            </w14:solidFill>
          </w14:textFill>
        </w:rPr>
        <w:t>. 5(3) : 3723-3723730.</w:t>
      </w:r>
    </w:p>
    <w:p w14:paraId="2CE2ED5B">
      <w:pPr>
        <w:autoSpaceDE w:val="0"/>
        <w:autoSpaceDN w:val="0"/>
        <w:adjustRightInd w:val="0"/>
        <w:spacing w:after="120" w:line="240" w:lineRule="auto"/>
        <w:ind w:left="720" w:hanging="72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 xml:space="preserve">Djamiri, TT., Leasa, M., Talakua, M. Pengaruh Model Pembelajaran Game Based Learning Terhadap Hasil Belajar Dan Retensi Hasil Belajar Siswa Kelas V MIS Al-Hudzaifah Dobo. </w:t>
      </w:r>
      <w:r>
        <w:rPr>
          <w:rFonts w:cs="Times New Roman"/>
          <w:i/>
          <w:color w:val="000000" w:themeColor="text1"/>
          <w:szCs w:val="24"/>
          <w14:textFill>
            <w14:solidFill>
              <w14:schemeClr w14:val="tx1"/>
            </w14:solidFill>
          </w14:textFill>
        </w:rPr>
        <w:t>Pendas : Jurnal Ilmiah Pendidikan Dasar</w:t>
      </w:r>
      <w:r>
        <w:rPr>
          <w:rFonts w:cs="Times New Roman"/>
          <w:color w:val="000000" w:themeColor="text1"/>
          <w:szCs w:val="24"/>
          <w14:textFill>
            <w14:solidFill>
              <w14:schemeClr w14:val="tx1"/>
            </w14:solidFill>
          </w14:textFill>
        </w:rPr>
        <w:t>. 10(3):305-316.</w:t>
      </w:r>
    </w:p>
    <w:p w14:paraId="2058A963">
      <w:pPr>
        <w:autoSpaceDE w:val="0"/>
        <w:autoSpaceDN w:val="0"/>
        <w:adjustRightInd w:val="0"/>
        <w:spacing w:after="120" w:line="240" w:lineRule="auto"/>
        <w:ind w:left="720" w:hanging="72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 xml:space="preserve">Padilla, A., Munthe, WML., Aditya, W. 2024. Analisis Penyebab Rendahnya Hasil Belajar Siswa Pembelajaran PPKn Materi Gotong Royong Kelas IV Sekolah Dasar. </w:t>
      </w:r>
      <w:r>
        <w:rPr>
          <w:rFonts w:cs="Times New Roman"/>
          <w:i/>
          <w:color w:val="000000" w:themeColor="text1"/>
          <w:szCs w:val="24"/>
          <w14:textFill>
            <w14:solidFill>
              <w14:schemeClr w14:val="tx1"/>
            </w14:solidFill>
          </w14:textFill>
        </w:rPr>
        <w:t>Jurnal Basicedu</w:t>
      </w:r>
      <w:r>
        <w:rPr>
          <w:rFonts w:cs="Times New Roman"/>
          <w:color w:val="000000" w:themeColor="text1"/>
          <w:szCs w:val="24"/>
          <w14:textFill>
            <w14:solidFill>
              <w14:schemeClr w14:val="tx1"/>
            </w14:solidFill>
          </w14:textFill>
        </w:rPr>
        <w:t>. 8(2) : 1625-1633.</w:t>
      </w:r>
    </w:p>
    <w:p w14:paraId="0D6DAE80">
      <w:pPr>
        <w:autoSpaceDE w:val="0"/>
        <w:autoSpaceDN w:val="0"/>
        <w:adjustRightInd w:val="0"/>
        <w:spacing w:after="120" w:line="240" w:lineRule="auto"/>
        <w:ind w:left="720" w:hanging="72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 xml:space="preserve">Pramusinta, Y., Faizah, SN. 2022. </w:t>
      </w:r>
      <w:r>
        <w:rPr>
          <w:rFonts w:cs="Times New Roman"/>
          <w:i/>
          <w:color w:val="000000" w:themeColor="text1"/>
          <w:szCs w:val="24"/>
          <w14:textFill>
            <w14:solidFill>
              <w14:schemeClr w14:val="tx1"/>
            </w14:solidFill>
          </w14:textFill>
        </w:rPr>
        <w:t>Belajar Dan Pembelajaran Abad 21 di Sekolah Dasar</w:t>
      </w:r>
      <w:r>
        <w:rPr>
          <w:rFonts w:cs="Times New Roman"/>
          <w:color w:val="000000" w:themeColor="text1"/>
          <w:szCs w:val="24"/>
          <w14:textFill>
            <w14:solidFill>
              <w14:schemeClr w14:val="tx1"/>
            </w14:solidFill>
          </w14:textFill>
        </w:rPr>
        <w:t>. Lamongan : Nawa Litera Publishing.</w:t>
      </w:r>
    </w:p>
    <w:p w14:paraId="1EBDC7E2">
      <w:pPr>
        <w:autoSpaceDE w:val="0"/>
        <w:autoSpaceDN w:val="0"/>
        <w:adjustRightInd w:val="0"/>
        <w:spacing w:after="120" w:line="240" w:lineRule="auto"/>
        <w:ind w:left="720" w:hanging="72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Pranita, A. ., Guslinda, Pamiluwati, T. H. E. ., &amp; Alfitra, M. P. . (2025). Implementation of Game Based Learning Model Using Tangkas Board Media to Improve Learning Outcomes of Third Grade Students at State Elementary School 25 Pekanbaru. </w:t>
      </w:r>
      <w:r>
        <w:rPr>
          <w:rFonts w:cs="Times New Roman"/>
          <w:i/>
          <w:iCs/>
          <w:color w:val="000000" w:themeColor="text1"/>
          <w:szCs w:val="24"/>
          <w14:textFill>
            <w14:solidFill>
              <w14:schemeClr w14:val="tx1"/>
            </w14:solidFill>
          </w14:textFill>
        </w:rPr>
        <w:t>Jurnal Kiprah Pendidikan</w:t>
      </w:r>
      <w:r>
        <w:rPr>
          <w:rFonts w:cs="Times New Roman"/>
          <w:color w:val="000000" w:themeColor="text1"/>
          <w:szCs w:val="24"/>
          <w14:textFill>
            <w14:solidFill>
              <w14:schemeClr w14:val="tx1"/>
            </w14:solidFill>
          </w14:textFill>
        </w:rPr>
        <w:t>, </w:t>
      </w:r>
      <w:r>
        <w:rPr>
          <w:rFonts w:cs="Times New Roman"/>
          <w:i/>
          <w:iCs/>
          <w:color w:val="000000" w:themeColor="text1"/>
          <w:szCs w:val="24"/>
          <w14:textFill>
            <w14:solidFill>
              <w14:schemeClr w14:val="tx1"/>
            </w14:solidFill>
          </w14:textFill>
        </w:rPr>
        <w:t>4</w:t>
      </w:r>
      <w:r>
        <w:rPr>
          <w:rFonts w:cs="Times New Roman"/>
          <w:color w:val="000000" w:themeColor="text1"/>
          <w:szCs w:val="24"/>
          <w14:textFill>
            <w14:solidFill>
              <w14:schemeClr w14:val="tx1"/>
            </w14:solidFill>
          </w14:textFill>
        </w:rPr>
        <w:t>(4), 745–751.</w:t>
      </w:r>
    </w:p>
    <w:p w14:paraId="67B62657">
      <w:pPr>
        <w:autoSpaceDE w:val="0"/>
        <w:autoSpaceDN w:val="0"/>
        <w:adjustRightInd w:val="0"/>
        <w:spacing w:after="120" w:line="240" w:lineRule="auto"/>
        <w:ind w:left="720" w:hanging="72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 xml:space="preserve">Rahmaniati, R. 2024. </w:t>
      </w:r>
      <w:r>
        <w:rPr>
          <w:rFonts w:cs="Times New Roman"/>
          <w:i/>
          <w:color w:val="000000" w:themeColor="text1"/>
          <w:szCs w:val="24"/>
          <w14:textFill>
            <w14:solidFill>
              <w14:schemeClr w14:val="tx1"/>
            </w14:solidFill>
          </w14:textFill>
        </w:rPr>
        <w:t>Model-Model Pembelajaran Inovatif</w:t>
      </w:r>
      <w:r>
        <w:rPr>
          <w:rFonts w:cs="Times New Roman"/>
          <w:color w:val="000000" w:themeColor="text1"/>
          <w:szCs w:val="24"/>
          <w14:textFill>
            <w14:solidFill>
              <w14:schemeClr w14:val="tx1"/>
            </w14:solidFill>
          </w14:textFill>
        </w:rPr>
        <w:t>. Ponorogo : Uwais Inspirasi Indonesia.</w:t>
      </w:r>
    </w:p>
    <w:p w14:paraId="56E1C1DB">
      <w:pPr>
        <w:autoSpaceDE w:val="0"/>
        <w:autoSpaceDN w:val="0"/>
        <w:adjustRightInd w:val="0"/>
        <w:spacing w:after="120" w:line="240" w:lineRule="auto"/>
        <w:ind w:left="720" w:hanging="72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Safitri, R. R., Rahmania, U. G., Putri, A. F., &amp; Jumadi, J. 2025. The Impact of Game-Based Learning on Student Competencies in Science: A systematic Review . </w:t>
      </w:r>
      <w:r>
        <w:rPr>
          <w:rFonts w:cs="Times New Roman"/>
          <w:i/>
          <w:iCs/>
          <w:color w:val="000000" w:themeColor="text1"/>
          <w:szCs w:val="24"/>
          <w14:textFill>
            <w14:solidFill>
              <w14:schemeClr w14:val="tx1"/>
            </w14:solidFill>
          </w14:textFill>
        </w:rPr>
        <w:t>Jurnal Pendidikan Dan Kebudayaan</w:t>
      </w:r>
      <w:r>
        <w:rPr>
          <w:rFonts w:cs="Times New Roman"/>
          <w:color w:val="000000" w:themeColor="text1"/>
          <w:szCs w:val="24"/>
          <w14:textFill>
            <w14:solidFill>
              <w14:schemeClr w14:val="tx1"/>
            </w14:solidFill>
          </w14:textFill>
        </w:rPr>
        <w:t>, </w:t>
      </w:r>
      <w:r>
        <w:rPr>
          <w:rFonts w:cs="Times New Roman"/>
          <w:i/>
          <w:iCs/>
          <w:color w:val="000000" w:themeColor="text1"/>
          <w:szCs w:val="24"/>
          <w14:textFill>
            <w14:solidFill>
              <w14:schemeClr w14:val="tx1"/>
            </w14:solidFill>
          </w14:textFill>
        </w:rPr>
        <w:t>10</w:t>
      </w:r>
      <w:r>
        <w:rPr>
          <w:rFonts w:cs="Times New Roman"/>
          <w:color w:val="000000" w:themeColor="text1"/>
          <w:szCs w:val="24"/>
          <w14:textFill>
            <w14:solidFill>
              <w14:schemeClr w14:val="tx1"/>
            </w14:solidFill>
          </w14:textFill>
        </w:rPr>
        <w:t>(1), 116–136.</w:t>
      </w:r>
    </w:p>
    <w:p w14:paraId="6417C40A">
      <w:pPr>
        <w:autoSpaceDE w:val="0"/>
        <w:autoSpaceDN w:val="0"/>
        <w:adjustRightInd w:val="0"/>
        <w:spacing w:after="120" w:line="240" w:lineRule="auto"/>
        <w:ind w:left="720" w:hanging="72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 xml:space="preserve">Sarumaha, MS., et.al. 2023. </w:t>
      </w:r>
      <w:r>
        <w:rPr>
          <w:rFonts w:cs="Times New Roman"/>
          <w:i/>
          <w:color w:val="000000" w:themeColor="text1"/>
          <w:szCs w:val="24"/>
          <w14:textFill>
            <w14:solidFill>
              <w14:schemeClr w14:val="tx1"/>
            </w14:solidFill>
          </w14:textFill>
        </w:rPr>
        <w:t>Model-Model Pembelajaran</w:t>
      </w:r>
      <w:r>
        <w:rPr>
          <w:rFonts w:cs="Times New Roman"/>
          <w:color w:val="000000" w:themeColor="text1"/>
          <w:szCs w:val="24"/>
          <w14:textFill>
            <w14:solidFill>
              <w14:schemeClr w14:val="tx1"/>
            </w14:solidFill>
          </w14:textFill>
        </w:rPr>
        <w:t>. Sukabumi : CV Jejak.</w:t>
      </w:r>
    </w:p>
    <w:p w14:paraId="54249D2E">
      <w:pPr>
        <w:autoSpaceDE w:val="0"/>
        <w:autoSpaceDN w:val="0"/>
        <w:adjustRightInd w:val="0"/>
        <w:spacing w:after="120" w:line="240" w:lineRule="auto"/>
        <w:ind w:left="720" w:hanging="72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 xml:space="preserve">Sulaiman., et.al. 2024. </w:t>
      </w:r>
      <w:r>
        <w:rPr>
          <w:rFonts w:cs="Times New Roman"/>
          <w:i/>
          <w:color w:val="000000" w:themeColor="text1"/>
          <w:szCs w:val="24"/>
          <w14:textFill>
            <w14:solidFill>
              <w14:schemeClr w14:val="tx1"/>
            </w14:solidFill>
          </w14:textFill>
        </w:rPr>
        <w:t>Metode Dan Model Pembelajaran Abad 21 (Teori, Implementasi dan Perkembangannya</w:t>
      </w:r>
      <w:r>
        <w:rPr>
          <w:rFonts w:cs="Times New Roman"/>
          <w:color w:val="000000" w:themeColor="text1"/>
          <w:szCs w:val="24"/>
          <w14:textFill>
            <w14:solidFill>
              <w14:schemeClr w14:val="tx1"/>
            </w14:solidFill>
          </w14:textFill>
        </w:rPr>
        <w:t>. Bantul : PT Green Pustaka Indonesia.</w:t>
      </w:r>
    </w:p>
    <w:p w14:paraId="6D31ADEF">
      <w:pPr>
        <w:autoSpaceDE w:val="0"/>
        <w:autoSpaceDN w:val="0"/>
        <w:adjustRightInd w:val="0"/>
        <w:spacing w:after="120" w:line="240" w:lineRule="auto"/>
        <w:ind w:left="720" w:hanging="720"/>
        <w:rPr>
          <w:rFonts w:cs="Times New Roman"/>
          <w:color w:val="000000" w:themeColor="text1"/>
          <w:szCs w:val="24"/>
          <w:lang w:val="id"/>
          <w14:textFill>
            <w14:solidFill>
              <w14:schemeClr w14:val="tx1"/>
            </w14:solidFill>
          </w14:textFill>
        </w:rPr>
      </w:pPr>
      <w:r>
        <w:rPr>
          <w:rFonts w:cs="Times New Roman"/>
          <w:color w:val="000000" w:themeColor="text1"/>
          <w:szCs w:val="24"/>
          <w14:textFill>
            <w14:solidFill>
              <w14:schemeClr w14:val="tx1"/>
            </w14:solidFill>
          </w14:textFill>
        </w:rPr>
        <w:t xml:space="preserve">Wulandari, P., Hasim, W. 2025. Pengaruh Model Pembelajaran Games Based Learning Terhadap Hasil Belajar IPAS Siswa Kelas IV SD. </w:t>
      </w:r>
      <w:r>
        <w:rPr>
          <w:rFonts w:cs="Times New Roman"/>
          <w:i/>
          <w:color w:val="000000" w:themeColor="text1"/>
          <w:szCs w:val="24"/>
          <w14:textFill>
            <w14:solidFill>
              <w14:schemeClr w14:val="tx1"/>
            </w14:solidFill>
          </w14:textFill>
        </w:rPr>
        <w:t>Journal Of Education</w:t>
      </w:r>
      <w:r>
        <w:rPr>
          <w:rFonts w:cs="Times New Roman"/>
          <w:color w:val="000000" w:themeColor="text1"/>
          <w:szCs w:val="24"/>
          <w14:textFill>
            <w14:solidFill>
              <w14:schemeClr w14:val="tx1"/>
            </w14:solidFill>
          </w14:textFill>
        </w:rPr>
        <w:t>. 5(1) : 488-496.</w:t>
      </w:r>
    </w:p>
    <w:sectPr>
      <w:headerReference r:id="rId5" w:type="default"/>
      <w:footerReference r:id="rId6" w:type="default"/>
      <w:pgSz w:w="11907" w:h="16839"/>
      <w:pgMar w:top="2268" w:right="1701" w:bottom="1701" w:left="2268"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1B4A9">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80308">
    <w:pPr>
      <w:spacing w:before="1"/>
      <w:ind w:left="0" w:leftChars="0" w:firstLine="0" w:firstLineChars="0"/>
      <w:jc w:val="left"/>
      <w:rPr>
        <w:sz w:val="20"/>
      </w:rPr>
    </w:pPr>
    <w:r>
      <w:rPr>
        <w:sz w:val="20"/>
      </w:rPr>
      <w:drawing>
        <wp:anchor distT="0" distB="0" distL="0" distR="0" simplePos="0" relativeHeight="251659264" behindDoc="1" locked="0" layoutInCell="1" allowOverlap="1">
          <wp:simplePos x="0" y="0"/>
          <wp:positionH relativeFrom="page">
            <wp:posOffset>5472430</wp:posOffset>
          </wp:positionH>
          <wp:positionV relativeFrom="page">
            <wp:posOffset>422910</wp:posOffset>
          </wp:positionV>
          <wp:extent cx="975995" cy="866775"/>
          <wp:effectExtent l="0" t="0" r="14605" b="1905"/>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rPr>
        <w:rFonts w:hint="default"/>
        <w:sz w:val="20"/>
        <w:lang w:val="en-US"/>
      </w:rPr>
      <w:t>P</w:t>
    </w:r>
    <w:r>
      <w:rPr>
        <w:sz w:val="20"/>
      </w:rPr>
      <w:t>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7D2C444B">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047241"/>
    <w:multiLevelType w:val="multilevel"/>
    <w:tmpl w:val="32047241"/>
    <w:lvl w:ilvl="0" w:tentative="0">
      <w:start w:val="1"/>
      <w:numFmt w:val="decimal"/>
      <w:lvlText w:val="%1."/>
      <w:lvlJc w:val="left"/>
      <w:pPr>
        <w:ind w:left="720" w:hanging="360"/>
      </w:pPr>
      <w:rPr>
        <w:rFonts w:hint="default" w:ascii="Times New Roman" w:hAnsi="Times New Roman" w:cs="Times New Roman"/>
      </w:rPr>
    </w:lvl>
    <w:lvl w:ilvl="1" w:tentative="0">
      <w:start w:val="1"/>
      <w:numFmt w:val="decimal"/>
      <w:lvlText w:val="%2."/>
      <w:lvlJc w:val="left"/>
      <w:pPr>
        <w:ind w:left="1440" w:hanging="360"/>
      </w:pPr>
      <w:rPr>
        <w:rFonts w:hint="default"/>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lowerLetter"/>
      <w:lvlText w:val="%4."/>
      <w:lvlJc w:val="left"/>
      <w:pPr>
        <w:ind w:left="2880" w:hanging="360"/>
      </w:pPr>
      <w:rPr>
        <w:rFonts w:hint="default"/>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17D"/>
    <w:rsid w:val="00000E6A"/>
    <w:rsid w:val="00040C15"/>
    <w:rsid w:val="00094240"/>
    <w:rsid w:val="000B6015"/>
    <w:rsid w:val="000C7146"/>
    <w:rsid w:val="001058BA"/>
    <w:rsid w:val="001C07A7"/>
    <w:rsid w:val="00264FA2"/>
    <w:rsid w:val="00320215"/>
    <w:rsid w:val="00345351"/>
    <w:rsid w:val="003C7224"/>
    <w:rsid w:val="00423883"/>
    <w:rsid w:val="0049048B"/>
    <w:rsid w:val="004A45B3"/>
    <w:rsid w:val="00543D6A"/>
    <w:rsid w:val="0056207D"/>
    <w:rsid w:val="006141B1"/>
    <w:rsid w:val="00795070"/>
    <w:rsid w:val="007B0525"/>
    <w:rsid w:val="007E317D"/>
    <w:rsid w:val="00996A4F"/>
    <w:rsid w:val="009E17A1"/>
    <w:rsid w:val="00AE1549"/>
    <w:rsid w:val="00C06D5A"/>
    <w:rsid w:val="00CD0048"/>
    <w:rsid w:val="00CD4054"/>
    <w:rsid w:val="00D34736"/>
    <w:rsid w:val="00D75D0C"/>
    <w:rsid w:val="00DF3140"/>
    <w:rsid w:val="00E12273"/>
    <w:rsid w:val="00E15C88"/>
    <w:rsid w:val="00E74C26"/>
    <w:rsid w:val="00E846B4"/>
    <w:rsid w:val="00EA2049"/>
    <w:rsid w:val="00EA7EF2"/>
    <w:rsid w:val="00F26E54"/>
    <w:rsid w:val="00F748DB"/>
    <w:rsid w:val="00FB26D1"/>
    <w:rsid w:val="00FC7CD6"/>
    <w:rsid w:val="2B664501"/>
    <w:rsid w:val="6425485A"/>
    <w:rsid w:val="65880472"/>
    <w:rsid w:val="69EF53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Calibr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357"/>
      <w:jc w:val="both"/>
    </w:pPr>
    <w:rPr>
      <w:rFonts w:ascii="Times New Roman" w:hAnsi="Times New Roman" w:eastAsiaTheme="minorHAnsi" w:cstheme="minorBidi"/>
      <w:sz w:val="24"/>
      <w:szCs w:val="22"/>
      <w:lang w:val="en-US"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2"/>
    <w:semiHidden/>
    <w:unhideWhenUsed/>
    <w:qFormat/>
    <w:uiPriority w:val="99"/>
    <w:pPr>
      <w:spacing w:line="240" w:lineRule="auto"/>
    </w:pPr>
    <w:rPr>
      <w:rFonts w:ascii="Tahoma" w:hAnsi="Tahoma" w:cs="Tahoma"/>
      <w:sz w:val="16"/>
      <w:szCs w:val="16"/>
    </w:rPr>
  </w:style>
  <w:style w:type="character" w:styleId="5">
    <w:name w:val="Emphasis"/>
    <w:basedOn w:val="2"/>
    <w:qFormat/>
    <w:uiPriority w:val="20"/>
    <w:rPr>
      <w:i/>
      <w:iCs/>
    </w:rPr>
  </w:style>
  <w:style w:type="paragraph" w:styleId="6">
    <w:name w:val="footer"/>
    <w:basedOn w:val="1"/>
    <w:semiHidden/>
    <w:unhideWhenUsed/>
    <w:qFormat/>
    <w:uiPriority w:val="99"/>
    <w:pPr>
      <w:tabs>
        <w:tab w:val="center" w:pos="4153"/>
        <w:tab w:val="right" w:pos="8306"/>
      </w:tabs>
      <w:snapToGrid w:val="0"/>
      <w:jc w:val="left"/>
    </w:pPr>
    <w:rPr>
      <w:sz w:val="18"/>
      <w:szCs w:val="18"/>
    </w:rPr>
  </w:style>
  <w:style w:type="paragraph" w:styleId="7">
    <w:name w:val="header"/>
    <w:basedOn w:val="1"/>
    <w:semiHidden/>
    <w:unhideWhenUsed/>
    <w:qFormat/>
    <w:uiPriority w:val="99"/>
    <w:pPr>
      <w:tabs>
        <w:tab w:val="center" w:pos="4153"/>
        <w:tab w:val="right" w:pos="8306"/>
      </w:tabs>
      <w:snapToGrid w:val="0"/>
    </w:pPr>
    <w:rPr>
      <w:sz w:val="18"/>
      <w:szCs w:val="18"/>
    </w:rPr>
  </w:style>
  <w:style w:type="character" w:styleId="8">
    <w:name w:val="Hyperlink"/>
    <w:basedOn w:val="2"/>
    <w:unhideWhenUsed/>
    <w:qFormat/>
    <w:uiPriority w:val="99"/>
    <w:rPr>
      <w:color w:val="0000FF" w:themeColor="hyperlink"/>
      <w:u w:val="single"/>
      <w14:textFill>
        <w14:solidFill>
          <w14:schemeClr w14:val="hlink"/>
        </w14:solidFill>
      </w14:textFill>
    </w:rPr>
  </w:style>
  <w:style w:type="table" w:styleId="9">
    <w:name w:val="Table Grid"/>
    <w:basedOn w:val="3"/>
    <w:qFormat/>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link w:val="11"/>
    <w:qFormat/>
    <w:uiPriority w:val="34"/>
    <w:pPr>
      <w:ind w:left="720"/>
      <w:contextualSpacing/>
    </w:pPr>
  </w:style>
  <w:style w:type="character" w:customStyle="1" w:styleId="11">
    <w:name w:val="List Paragraph Char"/>
    <w:link w:val="10"/>
    <w:qFormat/>
    <w:locked/>
    <w:uiPriority w:val="34"/>
    <w:rPr>
      <w:rFonts w:ascii="Times New Roman" w:hAnsi="Times New Roman" w:cs="SimSun"/>
      <w:kern w:val="2"/>
      <w:sz w:val="24"/>
      <w14:ligatures w14:val="standardContextual"/>
    </w:rPr>
  </w:style>
  <w:style w:type="character" w:customStyle="1" w:styleId="12">
    <w:name w:val="Balloon Text Char"/>
    <w:basedOn w:val="2"/>
    <w:link w:val="4"/>
    <w:semiHidden/>
    <w:qFormat/>
    <w:uiPriority w:val="99"/>
    <w:rPr>
      <w:rFonts w:ascii="Tahoma" w:hAnsi="Tahoma" w:cs="Tahoma" w:eastAsiaTheme="minorHAnsi"/>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2808</Words>
  <Characters>17849</Characters>
  <Lines>147</Lines>
  <Paragraphs>41</Paragraphs>
  <TotalTime>7</TotalTime>
  <ScaleCrop>false</ScaleCrop>
  <LinksUpToDate>false</LinksUpToDate>
  <CharactersWithSpaces>20597</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2025-02-10T12:21:00Z</dcterms:created>
  <dc:creator>acer1242@gmail.com</dc:creator>
  <cp:lastModifiedBy>Vina OMPUSUNGGU</cp:lastModifiedBy>
  <cp:lastPrinted>2026-02-16T06:16:00Z</cp:lastPrinted>
  <dcterms:modified xsi:type="dcterms:W3CDTF">2026-04-12T16:17:05Z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eyJoZGlkIjoiNTBmZmVkZjQ4MDNjZTVhMzQ1MjA0ZTM1ZmFiMjQ4NmEiLCJ1c2VySWQiOiI4ODEzNzE5MDc3NTkyIn0=</vt:lpwstr>
  </property>
  <property fmtid="{D5CDD505-2E9C-101B-9397-08002B2CF9AE}" pid="3" name="KSOProductBuildVer">
    <vt:lpwstr>1057-12.1.0.25830</vt:lpwstr>
  </property>
  <property fmtid="{D5CDD505-2E9C-101B-9397-08002B2CF9AE}" pid="4" name="ICV">
    <vt:lpwstr>0F4BE1A73BA64B718A70369BAA9A4F79_12</vt:lpwstr>
  </property>
</Properties>
</file>