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F6718">
      <w:pPr>
        <w:spacing w:after="0"/>
        <w:jc w:val="center"/>
        <w:outlineLvl w:val="0"/>
        <w:rPr>
          <w:rFonts w:ascii="Times New Roman" w:hAnsi="Times New Roman" w:eastAsia="Times New Roman" w:cs="Times New Roman"/>
          <w:b/>
          <w:bCs/>
          <w:kern w:val="36"/>
          <w:sz w:val="28"/>
          <w:szCs w:val="28"/>
        </w:rPr>
      </w:pPr>
      <w:r>
        <w:rPr>
          <w:rFonts w:ascii="Times New Roman" w:hAnsi="Times New Roman" w:eastAsia="Times New Roman" w:cs="Times New Roman"/>
          <w:b/>
          <w:bCs/>
          <w:kern w:val="36"/>
          <w:sz w:val="28"/>
          <w:szCs w:val="28"/>
        </w:rPr>
        <w:t>PENGARUH METODE PEMBELAJARAN GASING TERHADAP</w:t>
      </w:r>
    </w:p>
    <w:p w14:paraId="777FD4DA">
      <w:pPr>
        <w:spacing w:after="0"/>
        <w:jc w:val="center"/>
        <w:outlineLvl w:val="0"/>
        <w:rPr>
          <w:rFonts w:ascii="Times New Roman" w:hAnsi="Times New Roman" w:eastAsia="Times New Roman" w:cs="Times New Roman"/>
          <w:b/>
          <w:bCs/>
          <w:kern w:val="36"/>
          <w:sz w:val="28"/>
          <w:szCs w:val="28"/>
        </w:rPr>
      </w:pPr>
      <w:r>
        <w:rPr>
          <w:rFonts w:ascii="Times New Roman" w:hAnsi="Times New Roman" w:eastAsia="Times New Roman" w:cs="Times New Roman"/>
          <w:b/>
          <w:bCs/>
          <w:kern w:val="36"/>
          <w:sz w:val="28"/>
          <w:szCs w:val="28"/>
        </w:rPr>
        <w:t xml:space="preserve"> HASIL BELAJAR MATEMATIKA SISWA KELAS IV </w:t>
      </w:r>
    </w:p>
    <w:p w14:paraId="2701B57E">
      <w:pPr>
        <w:spacing w:after="0"/>
        <w:jc w:val="center"/>
        <w:outlineLvl w:val="0"/>
        <w:rPr>
          <w:rFonts w:ascii="Times New Roman" w:hAnsi="Times New Roman" w:eastAsia="Times New Roman" w:cs="Times New Roman"/>
          <w:b/>
          <w:bCs/>
          <w:kern w:val="36"/>
          <w:sz w:val="28"/>
          <w:szCs w:val="28"/>
        </w:rPr>
      </w:pPr>
      <w:r>
        <w:rPr>
          <w:rFonts w:ascii="Times New Roman" w:hAnsi="Times New Roman" w:eastAsia="Times New Roman" w:cs="Times New Roman"/>
          <w:b/>
          <w:bCs/>
          <w:kern w:val="36"/>
          <w:sz w:val="28"/>
          <w:szCs w:val="28"/>
        </w:rPr>
        <w:t xml:space="preserve">SD NEGERI 101818 PANCUR BATU </w:t>
      </w:r>
    </w:p>
    <w:p w14:paraId="12A989F0">
      <w:pPr>
        <w:spacing w:after="0"/>
        <w:jc w:val="center"/>
        <w:outlineLvl w:val="0"/>
        <w:rPr>
          <w:rFonts w:ascii="Times New Roman" w:hAnsi="Times New Roman" w:eastAsia="Times New Roman" w:cs="Times New Roman"/>
          <w:b/>
          <w:bCs/>
          <w:kern w:val="36"/>
          <w:sz w:val="28"/>
          <w:szCs w:val="28"/>
        </w:rPr>
      </w:pPr>
      <w:r>
        <w:rPr>
          <w:rFonts w:ascii="Times New Roman" w:hAnsi="Times New Roman" w:eastAsia="Times New Roman" w:cs="Times New Roman"/>
          <w:b/>
          <w:bCs/>
          <w:kern w:val="36"/>
          <w:sz w:val="28"/>
          <w:szCs w:val="28"/>
        </w:rPr>
        <w:t>T.A 2025/2026</w:t>
      </w:r>
    </w:p>
    <w:p w14:paraId="2106B46B">
      <w:pPr>
        <w:spacing w:after="0"/>
        <w:jc w:val="center"/>
        <w:outlineLvl w:val="0"/>
        <w:rPr>
          <w:rFonts w:ascii="Times New Roman" w:hAnsi="Times New Roman" w:eastAsia="Times New Roman" w:cs="Times New Roman"/>
          <w:b/>
          <w:bCs/>
          <w:kern w:val="36"/>
          <w:sz w:val="28"/>
          <w:szCs w:val="28"/>
        </w:rPr>
      </w:pPr>
    </w:p>
    <w:p w14:paraId="69E01B03">
      <w:pPr>
        <w:spacing w:after="0"/>
        <w:jc w:val="center"/>
        <w:rPr>
          <w:rFonts w:ascii="Times New Roman" w:hAnsi="Times New Roman"/>
          <w:b/>
          <w:bCs/>
          <w:i/>
          <w:sz w:val="28"/>
          <w:szCs w:val="28"/>
        </w:rPr>
      </w:pPr>
      <w:r>
        <w:rPr>
          <w:rFonts w:ascii="Times New Roman" w:hAnsi="Times New Roman"/>
          <w:b/>
          <w:bCs/>
          <w:i/>
          <w:sz w:val="28"/>
          <w:szCs w:val="28"/>
        </w:rPr>
        <w:t xml:space="preserve">THE INFLUENCE OF THE SPINNING TOP LEARNING METHOD ON THE MATHEMATICS LEARNING OUTCOMES OF FOURTH GRADE STUDENTS AT SD NEGERI 101818 </w:t>
      </w:r>
    </w:p>
    <w:p w14:paraId="2E6F416E">
      <w:pPr>
        <w:spacing w:after="0"/>
        <w:jc w:val="center"/>
        <w:rPr>
          <w:rFonts w:ascii="Times New Roman" w:hAnsi="Times New Roman"/>
          <w:b/>
          <w:bCs/>
          <w:i/>
          <w:sz w:val="28"/>
          <w:szCs w:val="28"/>
        </w:rPr>
      </w:pPr>
      <w:r>
        <w:rPr>
          <w:rFonts w:ascii="Times New Roman" w:hAnsi="Times New Roman"/>
          <w:b/>
          <w:bCs/>
          <w:i/>
          <w:sz w:val="28"/>
          <w:szCs w:val="28"/>
        </w:rPr>
        <w:t>PANCUR BATU 2025/2026</w:t>
      </w:r>
    </w:p>
    <w:p w14:paraId="59488BB1">
      <w:pPr>
        <w:spacing w:after="0" w:line="360" w:lineRule="auto"/>
        <w:outlineLvl w:val="0"/>
        <w:rPr>
          <w:rFonts w:ascii="Times New Roman" w:hAnsi="Times New Roman" w:eastAsia="Times New Roman" w:cs="Times New Roman"/>
          <w:b/>
          <w:bCs/>
          <w:kern w:val="36"/>
          <w:sz w:val="24"/>
          <w:szCs w:val="24"/>
        </w:rPr>
      </w:pPr>
    </w:p>
    <w:p w14:paraId="6D6D1CD3">
      <w:pPr>
        <w:spacing w:after="0"/>
        <w:jc w:val="center"/>
        <w:outlineLvl w:val="0"/>
        <w:rPr>
          <w:rFonts w:ascii="Times New Roman" w:hAnsi="Times New Roman" w:eastAsia="Times New Roman" w:cs="Times New Roman"/>
          <w:bCs/>
          <w:kern w:val="36"/>
          <w:sz w:val="24"/>
          <w:szCs w:val="24"/>
        </w:rPr>
      </w:pPr>
      <w:r>
        <w:rPr>
          <w:rFonts w:ascii="Times New Roman" w:hAnsi="Times New Roman" w:eastAsia="Times New Roman" w:cs="Times New Roman"/>
          <w:b/>
          <w:bCs w:val="0"/>
          <w:kern w:val="36"/>
          <w:sz w:val="24"/>
          <w:szCs w:val="24"/>
        </w:rPr>
        <w:t>Santa Maria Magdalena</w:t>
      </w:r>
      <w:r>
        <w:rPr>
          <w:rFonts w:hint="default" w:ascii="Times New Roman" w:hAnsi="Times New Roman" w:eastAsia="Times New Roman" w:cs="Times New Roman"/>
          <w:b/>
          <w:bCs w:val="0"/>
          <w:kern w:val="36"/>
          <w:sz w:val="24"/>
          <w:szCs w:val="24"/>
          <w:lang w:val="en-US"/>
        </w:rPr>
        <w:t xml:space="preserve"> </w:t>
      </w:r>
      <w:r>
        <w:rPr>
          <w:rFonts w:ascii="Times New Roman" w:hAnsi="Times New Roman" w:eastAsia="Times New Roman" w:cs="Times New Roman"/>
          <w:b/>
          <w:bCs w:val="0"/>
          <w:kern w:val="36"/>
          <w:sz w:val="24"/>
          <w:szCs w:val="24"/>
        </w:rPr>
        <w:t xml:space="preserve">Tarigan, Pandapotan Tambunan, </w:t>
      </w:r>
      <w:r>
        <w:rPr>
          <w:rFonts w:ascii="Times New Roman" w:hAnsi="Times New Roman" w:cs="Times New Roman"/>
          <w:b/>
          <w:bCs w:val="0"/>
          <w:sz w:val="24"/>
          <w:szCs w:val="24"/>
        </w:rPr>
        <w:t>Srie Faizah Lisnasari</w:t>
      </w:r>
    </w:p>
    <w:p w14:paraId="59BAD6E8">
      <w:pPr>
        <w:spacing w:after="0"/>
        <w:jc w:val="center"/>
        <w:outlineLvl w:val="0"/>
        <w:rPr>
          <w:rFonts w:ascii="Times New Roman" w:hAnsi="Times New Roman" w:eastAsia="Times New Roman" w:cs="Times New Roman"/>
          <w:bCs/>
          <w:kern w:val="36"/>
          <w:sz w:val="24"/>
          <w:szCs w:val="24"/>
        </w:rPr>
      </w:pPr>
      <w:r>
        <w:rPr>
          <w:rFonts w:ascii="Times New Roman" w:hAnsi="Times New Roman" w:eastAsia="Times New Roman" w:cs="Times New Roman"/>
          <w:bCs/>
          <w:kern w:val="36"/>
          <w:sz w:val="24"/>
          <w:szCs w:val="24"/>
        </w:rPr>
        <w:t>Program Studi Pendidikan Guru Sekolah Dasar, Fakultas Keguruan dan Ilmu Pendidikan, Universitas Quality</w:t>
      </w:r>
    </w:p>
    <w:p w14:paraId="0784D53A">
      <w:pPr>
        <w:spacing w:after="0"/>
        <w:jc w:val="center"/>
        <w:outlineLvl w:val="0"/>
        <w:rPr>
          <w:rFonts w:ascii="Times New Roman" w:hAnsi="Times New Roman" w:eastAsia="Times New Roman" w:cs="Times New Roman"/>
          <w:bCs/>
          <w:kern w:val="36"/>
          <w:sz w:val="24"/>
          <w:szCs w:val="24"/>
        </w:rPr>
      </w:pPr>
      <w:r>
        <w:fldChar w:fldCharType="begin"/>
      </w:r>
      <w:r>
        <w:instrText xml:space="preserve"> HYPERLINK "mailto:santamariamagdalena2003@gmail.com" </w:instrText>
      </w:r>
      <w:r>
        <w:fldChar w:fldCharType="separate"/>
      </w:r>
      <w:r>
        <w:rPr>
          <w:rStyle w:val="10"/>
          <w:rFonts w:ascii="Times New Roman" w:hAnsi="Times New Roman" w:eastAsia="Times New Roman" w:cs="Times New Roman"/>
          <w:bCs/>
          <w:kern w:val="36"/>
          <w:sz w:val="24"/>
          <w:szCs w:val="24"/>
        </w:rPr>
        <w:t>santamariamagdalena2003@gmail.com</w:t>
      </w:r>
      <w:r>
        <w:rPr>
          <w:rStyle w:val="10"/>
          <w:rFonts w:ascii="Times New Roman" w:hAnsi="Times New Roman" w:eastAsia="Times New Roman" w:cs="Times New Roman"/>
          <w:bCs/>
          <w:kern w:val="36"/>
          <w:sz w:val="24"/>
          <w:szCs w:val="24"/>
        </w:rPr>
        <w:fldChar w:fldCharType="end"/>
      </w:r>
      <w:r>
        <w:rPr>
          <w:rStyle w:val="10"/>
          <w:rFonts w:ascii="Times New Roman" w:hAnsi="Times New Roman" w:eastAsia="Times New Roman" w:cs="Times New Roman"/>
          <w:bCs/>
          <w:kern w:val="36"/>
          <w:sz w:val="24"/>
          <w:szCs w:val="24"/>
        </w:rPr>
        <w:t xml:space="preserve">, </w:t>
      </w:r>
      <w:r>
        <w:fldChar w:fldCharType="begin"/>
      </w:r>
      <w:r>
        <w:instrText xml:space="preserve"> HYPERLINK "mailto:dapot1002@gmail.com" </w:instrText>
      </w:r>
      <w:r>
        <w:fldChar w:fldCharType="separate"/>
      </w:r>
      <w:r>
        <w:rPr>
          <w:rStyle w:val="10"/>
          <w:rFonts w:ascii="Times New Roman" w:hAnsi="Times New Roman" w:eastAsia="Times New Roman" w:cs="Times New Roman"/>
          <w:bCs/>
          <w:kern w:val="36"/>
          <w:sz w:val="24"/>
          <w:szCs w:val="24"/>
        </w:rPr>
        <w:t>dapot1002@gmail.com</w:t>
      </w:r>
      <w:r>
        <w:rPr>
          <w:rStyle w:val="10"/>
          <w:rFonts w:ascii="Times New Roman" w:hAnsi="Times New Roman" w:eastAsia="Times New Roman" w:cs="Times New Roman"/>
          <w:bCs/>
          <w:kern w:val="36"/>
          <w:sz w:val="24"/>
          <w:szCs w:val="24"/>
        </w:rPr>
        <w:fldChar w:fldCharType="end"/>
      </w:r>
      <w:r>
        <w:rPr>
          <w:rStyle w:val="10"/>
          <w:rFonts w:ascii="Times New Roman" w:hAnsi="Times New Roman" w:eastAsia="Times New Roman" w:cs="Times New Roman"/>
          <w:bCs/>
          <w:kern w:val="36"/>
          <w:sz w:val="24"/>
          <w:szCs w:val="24"/>
        </w:rPr>
        <w:t xml:space="preserve">, </w:t>
      </w:r>
      <w:r>
        <w:fldChar w:fldCharType="begin"/>
      </w:r>
      <w:r>
        <w:instrText xml:space="preserve"> HYPERLINK "mailto:faizahsrie2502@gmail.com" </w:instrText>
      </w:r>
      <w:r>
        <w:fldChar w:fldCharType="separate"/>
      </w:r>
      <w:r>
        <w:rPr>
          <w:rStyle w:val="10"/>
          <w:rFonts w:ascii="Times New Roman" w:hAnsi="Times New Roman" w:eastAsia="Times New Roman" w:cs="Times New Roman"/>
          <w:bCs/>
          <w:kern w:val="36"/>
          <w:sz w:val="24"/>
          <w:szCs w:val="24"/>
        </w:rPr>
        <w:t>faizahsrie2502@gmail.com</w:t>
      </w:r>
      <w:r>
        <w:rPr>
          <w:rStyle w:val="10"/>
          <w:rFonts w:ascii="Times New Roman" w:hAnsi="Times New Roman" w:eastAsia="Times New Roman" w:cs="Times New Roman"/>
          <w:bCs/>
          <w:kern w:val="36"/>
          <w:sz w:val="24"/>
          <w:szCs w:val="24"/>
        </w:rPr>
        <w:fldChar w:fldCharType="end"/>
      </w:r>
      <w:r>
        <w:rPr>
          <w:rStyle w:val="10"/>
          <w:rFonts w:ascii="Times New Roman" w:hAnsi="Times New Roman" w:eastAsia="Times New Roman" w:cs="Times New Roman"/>
          <w:bCs/>
          <w:kern w:val="36"/>
          <w:sz w:val="24"/>
          <w:szCs w:val="24"/>
        </w:rPr>
        <w:t xml:space="preserve"> </w:t>
      </w:r>
    </w:p>
    <w:p w14:paraId="37AC9AAC">
      <w:pPr>
        <w:spacing w:after="0" w:line="360" w:lineRule="auto"/>
        <w:jc w:val="center"/>
        <w:outlineLvl w:val="0"/>
        <w:rPr>
          <w:rFonts w:ascii="Times New Roman" w:hAnsi="Times New Roman" w:eastAsia="Times New Roman" w:cs="Times New Roman"/>
          <w:bCs/>
          <w:kern w:val="36"/>
          <w:sz w:val="24"/>
          <w:szCs w:val="24"/>
        </w:rPr>
      </w:pPr>
    </w:p>
    <w:p w14:paraId="7B632B7A">
      <w:pPr>
        <w:spacing w:after="0" w:line="360" w:lineRule="auto"/>
        <w:jc w:val="center"/>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03AE5A50">
      <w:pPr>
        <w:spacing w:after="0" w:line="240" w:lineRule="auto"/>
        <w:jc w:val="both"/>
        <w:rPr>
          <w:rFonts w:ascii="Times New Roman" w:hAnsi="Times New Roman"/>
          <w:sz w:val="24"/>
          <w:szCs w:val="24"/>
        </w:rPr>
      </w:pPr>
      <w:r>
        <w:rPr>
          <w:rFonts w:ascii="Times New Roman" w:hAnsi="Times New Roman"/>
          <w:sz w:val="24"/>
          <w:szCs w:val="24"/>
        </w:rPr>
        <w:t xml:space="preserve">Penelitian ini bertujuan 1.) Untuk mengetahui hasil belajar siswa dengan menggunakan metode pembelajaran konvensional di SD Negeri 101818 Pancur Batu Tahun Ajaran 2025/2026. 2.) Untuk mengetahui hasil belajar Matematika dengan menggunakan metode Gasing siswa kelas IV SD Negeri 101818 Pancur Batu Tahun Ajaran 2025/2026. 3.) Untuk mengetahui ada pengaruh yang signifikan penggunaan metode Gasing terhadap hasil belajar Matematika siswa kelas IV SD Negeri 101818 Pancur Batu Tahun Ajaran 2025/2026. Penelitian ini menggunakan pendekatan kuantitatif dengan metode quasi eksperimen melalui desain </w:t>
      </w:r>
      <w:r>
        <w:rPr>
          <w:rFonts w:ascii="Times New Roman" w:hAnsi="Times New Roman"/>
          <w:i/>
          <w:sz w:val="24"/>
          <w:szCs w:val="24"/>
        </w:rPr>
        <w:t>pretest–posttest</w:t>
      </w:r>
      <w:r>
        <w:rPr>
          <w:rFonts w:ascii="Times New Roman" w:hAnsi="Times New Roman"/>
          <w:sz w:val="24"/>
          <w:szCs w:val="24"/>
        </w:rPr>
        <w:t xml:space="preserve"> dua kelompok, yaitu kelas eksperimen yang diberi perlakuan menggunakan metode Gasing dan kelas kontrol yang menggunakan metode pembelajaran konvensional. Populasi penelitian adalah seluruh siswa kelas IV yang berjumlah 57 siswa dan seluruhnya dijadikan sebagai sampel penelitian. Instrumen yang digunakan berupa tes hasil belajar matematika pada materi operasi hitung perkalian, sedangkan teknik analisis data meliputi uji normalitas, uji homogenitas, dan uji hipotesis. Hasil penelitian menunjukkan bahwa nilai rata-rata </w:t>
      </w:r>
      <w:r>
        <w:rPr>
          <w:rFonts w:ascii="Times New Roman" w:hAnsi="Times New Roman"/>
          <w:i/>
          <w:sz w:val="24"/>
          <w:szCs w:val="24"/>
        </w:rPr>
        <w:t>pre test</w:t>
      </w:r>
      <w:r>
        <w:rPr>
          <w:rFonts w:ascii="Times New Roman" w:hAnsi="Times New Roman"/>
          <w:sz w:val="24"/>
          <w:szCs w:val="24"/>
        </w:rPr>
        <w:t xml:space="preserve"> siswa kelas IVA sebesar 45,1, sedangkan nilai rata-rata kelas IVB sebesar 47,44. Hasil penelitian menunjukkan bahwa nilai rata-rata </w:t>
      </w:r>
      <w:r>
        <w:rPr>
          <w:rFonts w:ascii="Times New Roman" w:hAnsi="Times New Roman"/>
          <w:i/>
          <w:sz w:val="24"/>
          <w:szCs w:val="24"/>
        </w:rPr>
        <w:t>post-test</w:t>
      </w:r>
      <w:r>
        <w:rPr>
          <w:rFonts w:ascii="Times New Roman" w:hAnsi="Times New Roman"/>
          <w:sz w:val="24"/>
          <w:szCs w:val="24"/>
        </w:rPr>
        <w:t xml:space="preserve"> siswa kelas eksperimen sebesar 81,06, sedangkan nilai rata-rata kelas kontrol sebesar 65,48. Nilai hasil uji hipotesis pada uji t sebesar 3,85 &gt; 2,00 yang menunjukkan bahwa terdapat pengaruh yang signifikan dari penggunaan metode pembelajaran Gasing terhadap hasil belajar matematika siswa. Berdasarkan hasil penelitian tersebut, dapat disimpulkan bahwa metode pembelajaran Gasing adanya pengaruh terhadap hasil belajar matematika siswa kelas IV sekolah dasar, mampu meningkatkan minat belajar siswa, serta dapat dijadikan sebagai alternatif metode pembelajaran matematika yang inovatif dan menyenangkan di sekolah dasar. </w:t>
      </w:r>
    </w:p>
    <w:p w14:paraId="0ED82244">
      <w:pPr>
        <w:spacing w:line="240" w:lineRule="auto"/>
        <w:jc w:val="both"/>
        <w:rPr>
          <w:rFonts w:ascii="Times New Roman" w:hAnsi="Times New Roman"/>
          <w:bCs/>
          <w:i/>
          <w:sz w:val="24"/>
          <w:szCs w:val="24"/>
        </w:rPr>
      </w:pPr>
      <w:r>
        <w:rPr>
          <w:rFonts w:ascii="Times New Roman" w:hAnsi="Times New Roman"/>
          <w:b/>
          <w:bCs w:val="0"/>
          <w:i/>
          <w:sz w:val="24"/>
          <w:szCs w:val="24"/>
        </w:rPr>
        <w:t>Kata kunci : Metode Gasing, Hasil Belajar, Matematika.</w:t>
      </w:r>
      <w:r>
        <w:rPr>
          <w:rFonts w:ascii="Times New Roman" w:hAnsi="Times New Roman"/>
          <w:bCs/>
          <w:i/>
          <w:sz w:val="24"/>
          <w:szCs w:val="24"/>
        </w:rPr>
        <w:t xml:space="preserve"> </w:t>
      </w:r>
    </w:p>
    <w:p w14:paraId="5EC09603">
      <w:pPr>
        <w:pStyle w:val="2"/>
        <w:spacing w:before="0" w:after="0" w:afterAutospacing="0" w:line="360" w:lineRule="auto"/>
        <w:jc w:val="center"/>
        <w:rPr>
          <w:i/>
          <w:sz w:val="24"/>
          <w:szCs w:val="24"/>
        </w:rPr>
      </w:pPr>
      <w:bookmarkStart w:id="0" w:name="_Toc220791146"/>
      <w:r>
        <w:rPr>
          <w:i/>
          <w:sz w:val="24"/>
          <w:szCs w:val="24"/>
        </w:rPr>
        <w:t>ABSTRACT</w:t>
      </w:r>
      <w:bookmarkEnd w:id="0"/>
    </w:p>
    <w:p w14:paraId="0098DA96">
      <w:pPr>
        <w:pStyle w:val="9"/>
        <w:jc w:val="both"/>
        <w:rPr>
          <w:rFonts w:ascii="Times New Roman" w:hAnsi="Times New Roman" w:cs="Times New Roman"/>
          <w:b/>
          <w:bCs/>
          <w:i/>
          <w:sz w:val="24"/>
          <w:szCs w:val="24"/>
        </w:rPr>
      </w:pPr>
      <w:r>
        <w:rPr>
          <w:rFonts w:ascii="Times New Roman" w:hAnsi="Times New Roman" w:cs="Times New Roman"/>
          <w:i/>
          <w:sz w:val="24"/>
          <w:szCs w:val="24"/>
        </w:rPr>
        <w:t xml:space="preserve">This study aims 1.) </w:t>
      </w:r>
      <w:r>
        <w:rPr>
          <w:rFonts w:ascii="Times New Roman" w:hAnsi="Times New Roman" w:cs="Times New Roman"/>
          <w:i/>
          <w:color w:val="1F1F1F"/>
          <w:sz w:val="24"/>
          <w:szCs w:val="24"/>
          <w:lang w:val="en"/>
        </w:rPr>
        <w:t xml:space="preserve">To find out the learning outcomes of students using conventional learning methods at SD Negeri 101818 Pancur Batu in the 2025/2026 Academic Year. 2.) To find out the learning outcomes of Mathematics using the Gasing method of fourth grade students of SD Negeri 101818 Pancur Batu in the 2025/2026 Academic Year. 3.) To find out whether there is a significant influence of the use of the Gasing method on the learning outcomes of Mathematics of fourth grade students of SD Negeri 101818 Pancur Batu in the 2025/2026 Academic Year. </w:t>
      </w:r>
      <w:r>
        <w:rPr>
          <w:rFonts w:ascii="Times New Roman" w:hAnsi="Times New Roman" w:cs="Times New Roman"/>
          <w:i/>
          <w:sz w:val="24"/>
          <w:szCs w:val="24"/>
        </w:rPr>
        <w:t>The study employed a quantitative approach using a quasi-expe</w:t>
      </w:r>
      <w:bookmarkStart w:id="1" w:name="_GoBack"/>
      <w:bookmarkEnd w:id="1"/>
      <w:r>
        <w:rPr>
          <w:rFonts w:ascii="Times New Roman" w:hAnsi="Times New Roman" w:cs="Times New Roman"/>
          <w:i/>
          <w:sz w:val="24"/>
          <w:szCs w:val="24"/>
        </w:rPr>
        <w:t>rimental method with a two-group pretest–posttest design, consisting of an experimental class that received instruction using the Gasing method and a control class that was taught using conventional learning methods. The population of the study included all fourth-grade students, totaling 57 students, all of whom were taken as the research sample. The research instrument was a mathematics achievement test on multiplication operations. Data analysis techniques included tests of normality, homogeneity, and hypothesis testing. The results showed that the average pretest score of students in class IVA was 45.1, while the average pretest score of class IVB was 47.44. Furthermore, the average post-test score of students in the experimental class was 81.06, whereas the average post-test score of the control class was 65.48. The results of the hypothesis testing using the t-test indicated a value of 3.85 &gt; 2.00, demonstrating that there is a significant effect of using the Gasing learning method on students’ mathematics learning outcomes. Based on these findings, it can be concluded that the Gasing learning method has a significant effect on improving the mathematics learning outcomes of fourth-grade elementary school students, is able to increase students’ learning interest, and can be used as an innovative and enjoyable alternative method for teaching mathematics in elementary schools.</w:t>
      </w:r>
    </w:p>
    <w:p w14:paraId="6298DCC4">
      <w:pPr>
        <w:spacing w:after="0" w:line="240" w:lineRule="auto"/>
        <w:ind w:left="720" w:hanging="720"/>
        <w:jc w:val="both"/>
        <w:rPr>
          <w:rFonts w:ascii="Times New Roman" w:hAnsi="Times New Roman"/>
          <w:b/>
          <w:bCs w:val="0"/>
          <w:i/>
          <w:sz w:val="24"/>
          <w:szCs w:val="24"/>
        </w:rPr>
      </w:pPr>
      <w:r>
        <w:rPr>
          <w:rFonts w:ascii="Times New Roman" w:hAnsi="Times New Roman"/>
          <w:b/>
          <w:bCs w:val="0"/>
          <w:i/>
          <w:sz w:val="24"/>
          <w:szCs w:val="24"/>
        </w:rPr>
        <w:t>Keywords : Gasing Method, Learning Outcomes, Mathematics.</w:t>
      </w:r>
    </w:p>
    <w:p w14:paraId="23BD53F0">
      <w:pPr>
        <w:pStyle w:val="18"/>
        <w:spacing w:after="0" w:line="360" w:lineRule="auto"/>
        <w:rPr>
          <w:rFonts w:ascii="Times New Roman" w:hAnsi="Times New Roman" w:eastAsia="Times New Roman"/>
          <w:sz w:val="24"/>
          <w:szCs w:val="24"/>
        </w:rPr>
      </w:pPr>
    </w:p>
    <w:p w14:paraId="52A6F138">
      <w:pPr>
        <w:spacing w:after="0"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PENDAHULUAN</w:t>
      </w:r>
    </w:p>
    <w:p w14:paraId="6EF5433D">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Pendidikan memiliki peran penting dalam membentuk sumber daya manusia yang berkualitas. Salah satu mata pelajaran yang berperan dalam mengembangkan kemampuan berpikir logis dan sistematis adalah matematika. Namun, pada kenyataannya, matematika sering dianggap sebagai mata pelajaran yang sulit dan menakutkan bagi siswa, khususnya di sekolah dasar. Berdasarkan hasil observasi di SD Negeri 101818 Pancur Batu, pembelajaran matematika masih didominasi oleh metode konvensional yang berpusat pada guru. Proses pembelajaran berlangsung satu arah sehingga siswa cenderung pasif, kurang antusias, dan mudah merasa bosan. </w:t>
      </w:r>
    </w:p>
    <w:p w14:paraId="24310BE9">
      <w:pPr>
        <w:spacing w:after="0" w:line="360" w:lineRule="auto"/>
        <w:ind w:firstLine="567"/>
        <w:jc w:val="both"/>
      </w:pPr>
      <w:r>
        <w:rPr>
          <w:rFonts w:ascii="Times New Roman" w:hAnsi="Times New Roman" w:cs="Times New Roman"/>
          <w:sz w:val="24"/>
          <w:szCs w:val="24"/>
        </w:rPr>
        <w:t>Berdasarkan hasil wawancara dengan wali kelas IV serta data hasil belajar, dari 57 siswa hanya 24 siswa (43%) yang mencapai Kriteria Ketercapaian Tujuan Pembelajaran (KKTP) dengan nilai di atas 70, sedangkan 33 siswa (57%) belum mencapai ketuntasan. Data tersebut menunjukkan bahwa sebagian besar siswa masih mengalami kesulitan dalam memahami konsep matematika, khususnya pada materi operasi hitung perkalian. Oleh karena itu, diperlukan inovasi pembelajaran yang mampu meningkatkan keterlibatan siswa dan membantu mereka memahami konsep secara lebih konkret dan menyenangkan</w:t>
      </w:r>
      <w:r>
        <w:t>.</w:t>
      </w:r>
    </w:p>
    <w:p w14:paraId="101C5BAE">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Salah satu alternatif metode pembelajaran yang dapat digunakan untuk mengatasi permasalahan tersebut adalah metode Gasing (Gampang, Asyik, dan Menyenangkan). Metode ini menekankan pada pembelajaran bertahap, penggunaan benda konkret, aktivitas interaktif, serta pemahaman konsep tanpa terlalu menekankan hafalan rumus. Oleh karena itu, penelitian ini dilakukan untuk mengetahui apakah metode Gasing berpengaruh terhadap hasil belajar matematika siswa. </w:t>
      </w:r>
      <w:r>
        <w:rPr>
          <w:rFonts w:ascii="Times New Roman" w:hAnsi="Times New Roman"/>
          <w:sz w:val="24"/>
          <w:szCs w:val="24"/>
        </w:rPr>
        <w:t xml:space="preserve">Hal ini menjadi dasar pertimbangan bagi guru dan pihak sekolah dalam menentukan strategi pembelajaran yang tepat dan efektif. Penelitian sebelumnya menunjukkan bahwa metode pembelajaran matematika Gasing efektif dalam meningkatkan hasil belajar dan pemahaman konsep matematis siswa (Kusuma et al., 2018; Lestari et al., 2022). </w:t>
      </w:r>
    </w:p>
    <w:p w14:paraId="4EB1C1C2">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penelitian sebelumnya menunjukkan bahwa metode Gasing efektif dalam meningkatkan hasil belajar dan pemahaman konsep matematika siswa. Namun, penelitian yang secara khusus mengkaji pengaruh metode Gasing terhadap kemampuan operasi hitung perkalian pada siswa sekolah dasar masih terbatas. Oleh karena itu, penelitian ini bertujuan untuk menganalisis pengaruh metode pembelajaran Gasing terhadap kemampuan operasi hitung perkalian siswa kelas IV SD Negeri 101818 Pancur Batu Tahun Ajaran 2025/2026.</w:t>
      </w:r>
    </w:p>
    <w:p w14:paraId="76165FDB">
      <w:pPr>
        <w:spacing w:after="0" w:line="360" w:lineRule="auto"/>
        <w:ind w:firstLine="567"/>
        <w:jc w:val="both"/>
        <w:rPr>
          <w:rFonts w:ascii="Times New Roman" w:hAnsi="Times New Roman" w:eastAsia="Times New Roman" w:cs="Times New Roman"/>
          <w:sz w:val="24"/>
          <w:szCs w:val="24"/>
        </w:rPr>
      </w:pPr>
    </w:p>
    <w:p w14:paraId="19C0F27D">
      <w:pPr>
        <w:spacing w:after="0"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METODE PENELITIAN</w:t>
      </w:r>
    </w:p>
    <w:p w14:paraId="135689D2">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menggunakan pendekatan kuantitatif dengan desain quasi eksperimen tipe </w:t>
      </w:r>
      <w:r>
        <w:rPr>
          <w:rFonts w:ascii="Times New Roman" w:hAnsi="Times New Roman" w:eastAsia="Times New Roman" w:cs="Times New Roman"/>
          <w:i/>
          <w:sz w:val="24"/>
          <w:szCs w:val="24"/>
        </w:rPr>
        <w:t>pretest–posttest</w:t>
      </w:r>
      <w:r>
        <w:rPr>
          <w:rFonts w:ascii="Times New Roman" w:hAnsi="Times New Roman" w:eastAsia="Times New Roman" w:cs="Times New Roman"/>
          <w:sz w:val="24"/>
          <w:szCs w:val="24"/>
        </w:rPr>
        <w:t xml:space="preserve"> control group design. Penelitian dilaksanakan di SD Negeri 101818 Pancur Batu pada Tahun Ajaran 2025/2026. Populasi penelitian adalah seluruh siswa kelas IV yang berjumlah 57 orang, terdiri dari dua kelas. Seluruh populasi dijadikan sebagai sampel penelitian, dengan kelas eksperimen dengan 30 siswa  dan kelas kontrol dengan 27 siswa.</w:t>
      </w:r>
    </w:p>
    <w:p w14:paraId="1D12D1E4">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Instrumen penelitian berupa tes hasil belajar matematika yang terdiri dari 13 soal pilihan ganda untuk mengukur pemahaman siswa sebelum dan sesudah penggunaan metode Gasing. Teknik pengumpulan data dilakukan melalui </w:t>
      </w:r>
      <w:r>
        <w:rPr>
          <w:rFonts w:ascii="Times New Roman" w:hAnsi="Times New Roman" w:eastAsia="Times New Roman" w:cs="Times New Roman"/>
          <w:i/>
          <w:sz w:val="24"/>
          <w:szCs w:val="24"/>
        </w:rPr>
        <w:t>pre test</w:t>
      </w:r>
      <w:r>
        <w:rPr>
          <w:rFonts w:ascii="Times New Roman" w:hAnsi="Times New Roman" w:eastAsia="Times New Roman" w:cs="Times New Roman"/>
          <w:sz w:val="24"/>
          <w:szCs w:val="24"/>
        </w:rPr>
        <w:t xml:space="preserve"> sebelum perlakuan dan </w:t>
      </w:r>
      <w:r>
        <w:rPr>
          <w:rFonts w:ascii="Times New Roman" w:hAnsi="Times New Roman" w:eastAsia="Times New Roman" w:cs="Times New Roman"/>
          <w:i/>
          <w:sz w:val="24"/>
          <w:szCs w:val="24"/>
        </w:rPr>
        <w:t>post test</w:t>
      </w:r>
      <w:r>
        <w:rPr>
          <w:rFonts w:ascii="Times New Roman" w:hAnsi="Times New Roman" w:eastAsia="Times New Roman" w:cs="Times New Roman"/>
          <w:sz w:val="24"/>
          <w:szCs w:val="24"/>
        </w:rPr>
        <w:t xml:space="preserve"> setelah perlakuan. Kelas eksperimen diberikan pembelajaran menggunakan metode Gasing dan kelas kontrol menggunakan metode konvensional dengan materi operasi hitung perkalian. Teknik analisis data meliputi: Uji normalitas, Uji homogenitas, Uji hipotesis menggunakan uji t. Uji t digunakan untuk mengetahui apakah terdapat pengaruh signifikan metode Gasing terhadap hasil belajar matematika siswa kelas IV SD Negeri 101818 Pancur Batu T.A 2025/2026. </w:t>
      </w:r>
    </w:p>
    <w:p w14:paraId="473ED09B">
      <w:pPr>
        <w:spacing w:after="0" w:line="360" w:lineRule="auto"/>
        <w:jc w:val="both"/>
        <w:rPr>
          <w:rFonts w:ascii="Times New Roman" w:hAnsi="Times New Roman" w:eastAsia="Times New Roman" w:cs="Times New Roman"/>
          <w:sz w:val="24"/>
          <w:szCs w:val="24"/>
        </w:rPr>
      </w:pPr>
    </w:p>
    <w:p w14:paraId="64F075F2">
      <w:pPr>
        <w:spacing w:after="0" w:line="360" w:lineRule="auto"/>
        <w:jc w:val="both"/>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HASIL DAN PEMBAHASAN</w:t>
      </w:r>
    </w:p>
    <w:p w14:paraId="2AA39C2E">
      <w:pPr>
        <w:spacing w:after="0" w:line="360" w:lineRule="auto"/>
        <w:ind w:firstLine="567"/>
        <w:jc w:val="both"/>
        <w:rPr>
          <w:rFonts w:ascii="Times New Roman" w:hAnsi="Times New Roman"/>
          <w:sz w:val="24"/>
          <w:szCs w:val="24"/>
        </w:rPr>
      </w:pPr>
      <w:r>
        <w:rPr>
          <w:rFonts w:ascii="Times New Roman" w:hAnsi="Times New Roman"/>
          <w:sz w:val="24"/>
          <w:szCs w:val="24"/>
        </w:rPr>
        <w:t xml:space="preserve">Data penelitian ini dilakukan untuk mengetahui kemampuan siswa kelas IV SD Negeri 101818 Pancur Batu T.A 2025/2026 berlokasi di Kecamatan Pancur Batu, Kabupaten Deli Serdang. Pada semester ganjil, di kelas IV A dan kelas IV B yang jumlah siswanya 57 siswa. Sebelum melaksanakan penelitian, siswa diberikan </w:t>
      </w:r>
      <w:r>
        <w:rPr>
          <w:rFonts w:ascii="Times New Roman" w:hAnsi="Times New Roman"/>
          <w:i/>
          <w:sz w:val="24"/>
          <w:szCs w:val="24"/>
        </w:rPr>
        <w:t>pre test</w:t>
      </w:r>
      <w:r>
        <w:rPr>
          <w:rFonts w:ascii="Times New Roman" w:hAnsi="Times New Roman"/>
          <w:sz w:val="24"/>
          <w:szCs w:val="24"/>
        </w:rPr>
        <w:t xml:space="preserve"> dengan tujuan untuk mengetahui kemampuan awal numerasi siswa. </w:t>
      </w:r>
    </w:p>
    <w:p w14:paraId="055DA83C">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hasil data </w:t>
      </w:r>
      <w:r>
        <w:rPr>
          <w:rFonts w:ascii="Times New Roman" w:hAnsi="Times New Roman" w:eastAsia="Times New Roman" w:cs="Times New Roman"/>
          <w:i/>
          <w:sz w:val="24"/>
          <w:szCs w:val="24"/>
        </w:rPr>
        <w:t>pre test</w:t>
      </w:r>
      <w:r>
        <w:rPr>
          <w:rFonts w:ascii="Times New Roman" w:hAnsi="Times New Roman" w:eastAsia="Times New Roman" w:cs="Times New Roman"/>
          <w:sz w:val="24"/>
          <w:szCs w:val="24"/>
        </w:rPr>
        <w:t xml:space="preserve">, kemampuan awal siswa relatif sama. Nilai rata-rata </w:t>
      </w:r>
      <w:r>
        <w:rPr>
          <w:rFonts w:ascii="Times New Roman" w:hAnsi="Times New Roman" w:eastAsia="Times New Roman" w:cs="Times New Roman"/>
          <w:i/>
          <w:sz w:val="24"/>
          <w:szCs w:val="24"/>
        </w:rPr>
        <w:t>pretest</w:t>
      </w:r>
      <w:r>
        <w:rPr>
          <w:rFonts w:ascii="Times New Roman" w:hAnsi="Times New Roman" w:eastAsia="Times New Roman" w:cs="Times New Roman"/>
          <w:sz w:val="24"/>
          <w:szCs w:val="24"/>
        </w:rPr>
        <w:t xml:space="preserve"> kelas IV A adalah 45,1, sedangkan kelas IV B 47,44. Kelas yang memiliki nilai rata-rata tertinggi ditetapkan sebagai kelas kontrol sedangkan nilai rata-rata terendah ditetapkan kelas eksperimen. </w:t>
      </w:r>
    </w:p>
    <w:p w14:paraId="078B0E3D">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 melaksanakan pembelajaran, di mana kelas IV A sebagai kelas eksperimen menggunakan metode Gasing, sedankan kelas IV B menggunakan metode konvensional. Setelah diberikan perlakuan, terjadi peningkatan yang signifikan pada kelas eksperimen. Dari perhitungan diperoleh nilai rata-rata </w:t>
      </w:r>
      <w:r>
        <w:rPr>
          <w:rFonts w:ascii="Times New Roman" w:hAnsi="Times New Roman" w:eastAsia="Times New Roman" w:cs="Times New Roman"/>
          <w:i/>
          <w:sz w:val="24"/>
          <w:szCs w:val="24"/>
        </w:rPr>
        <w:t>posttest</w:t>
      </w:r>
      <w:r>
        <w:rPr>
          <w:rFonts w:ascii="Times New Roman" w:hAnsi="Times New Roman" w:eastAsia="Times New Roman" w:cs="Times New Roman"/>
          <w:sz w:val="24"/>
          <w:szCs w:val="24"/>
        </w:rPr>
        <w:t xml:space="preserve"> kelas eksperimen mencapai 81,06 termasuk kategori sangat tinggi, sementara kelas kontrol hanya mencapai 65,48 termasuk dalam kategori sedang.</w:t>
      </w:r>
    </w:p>
    <w:p w14:paraId="1E2CC667">
      <w:pPr>
        <w:pStyle w:val="18"/>
        <w:numPr>
          <w:ilvl w:val="0"/>
          <w:numId w:val="1"/>
        </w:numPr>
        <w:spacing w:after="0" w:line="360" w:lineRule="auto"/>
        <w:ind w:left="851" w:hanging="284"/>
        <w:jc w:val="both"/>
        <w:rPr>
          <w:rFonts w:ascii="Times New Roman" w:hAnsi="Times New Roman" w:eastAsia="Times New Roman"/>
          <w:sz w:val="24"/>
          <w:szCs w:val="24"/>
        </w:rPr>
      </w:pPr>
      <w:r>
        <w:rPr>
          <w:rFonts w:ascii="Times New Roman" w:hAnsi="Times New Roman" w:eastAsia="Times New Roman"/>
          <w:sz w:val="24"/>
          <w:szCs w:val="24"/>
        </w:rPr>
        <w:t xml:space="preserve">Uji Normalitas </w:t>
      </w:r>
    </w:p>
    <w:p w14:paraId="56AC61CF">
      <w:pPr>
        <w:spacing w:after="0" w:line="360" w:lineRule="auto"/>
        <w:ind w:firstLine="567"/>
        <w:jc w:val="both"/>
        <w:rPr>
          <w:rFonts w:ascii="Times New Roman" w:hAnsi="Times New Roman"/>
          <w:sz w:val="24"/>
          <w:szCs w:val="24"/>
        </w:rPr>
      </w:pPr>
      <w:r>
        <w:rPr>
          <w:rFonts w:ascii="Times New Roman" w:hAnsi="Times New Roman"/>
          <w:sz w:val="24"/>
          <w:szCs w:val="24"/>
        </w:rPr>
        <w:t xml:space="preserve">Uji normalitas data untuk dua kelas yang dijadikan kelas eksperimen yaitu metode pembelajaran Gasing dan pembelajaran Konvensional yang dihitung dengan menggunakan uji </w:t>
      </w:r>
      <w:r>
        <w:rPr>
          <w:rFonts w:ascii="Times New Roman" w:hAnsi="Times New Roman"/>
          <w:i/>
          <w:sz w:val="24"/>
          <w:szCs w:val="24"/>
        </w:rPr>
        <w:t xml:space="preserve">Liliefors </w:t>
      </w:r>
      <w:r>
        <w:rPr>
          <w:rFonts w:ascii="Times New Roman" w:hAnsi="Times New Roman"/>
          <w:sz w:val="24"/>
          <w:szCs w:val="24"/>
        </w:rPr>
        <w:t>dapat disusun pada tabel berikut :</w:t>
      </w:r>
    </w:p>
    <w:p w14:paraId="50797290">
      <w:pPr>
        <w:spacing w:after="0" w:line="240" w:lineRule="auto"/>
        <w:jc w:val="center"/>
        <w:rPr>
          <w:rFonts w:ascii="Times New Roman" w:hAnsi="Times New Roman"/>
          <w:b/>
          <w:sz w:val="24"/>
          <w:szCs w:val="24"/>
        </w:rPr>
      </w:pPr>
      <w:r>
        <w:rPr>
          <w:rFonts w:ascii="Times New Roman" w:hAnsi="Times New Roman"/>
          <w:b/>
          <w:sz w:val="24"/>
          <w:szCs w:val="24"/>
        </w:rPr>
        <w:t xml:space="preserve">Tabel 4.10 Hasil Normalitas Data </w:t>
      </w:r>
      <w:r>
        <w:rPr>
          <w:rFonts w:ascii="Times New Roman" w:hAnsi="Times New Roman"/>
          <w:b/>
          <w:i/>
          <w:sz w:val="24"/>
          <w:szCs w:val="24"/>
        </w:rPr>
        <w:t>Post Test</w:t>
      </w:r>
    </w:p>
    <w:tbl>
      <w:tblPr>
        <w:tblStyle w:val="5"/>
        <w:tblW w:w="0" w:type="auto"/>
        <w:tblInd w:w="0" w:type="dxa"/>
        <w:tblLayout w:type="autofit"/>
        <w:tblCellMar>
          <w:top w:w="0" w:type="dxa"/>
          <w:left w:w="108" w:type="dxa"/>
          <w:bottom w:w="0" w:type="dxa"/>
          <w:right w:w="108" w:type="dxa"/>
        </w:tblCellMar>
      </w:tblPr>
      <w:tblGrid>
        <w:gridCol w:w="2829"/>
        <w:gridCol w:w="2829"/>
        <w:gridCol w:w="2829"/>
      </w:tblGrid>
      <w:tr w14:paraId="2B6DD948">
        <w:tc>
          <w:tcPr>
            <w:tcW w:w="2829" w:type="dxa"/>
            <w:tcBorders>
              <w:top w:val="single" w:color="auto" w:sz="4" w:space="0"/>
              <w:left w:val="single" w:color="auto" w:sz="4" w:space="0"/>
              <w:bottom w:val="single" w:color="auto" w:sz="4" w:space="0"/>
              <w:right w:val="single" w:color="auto" w:sz="4" w:space="0"/>
            </w:tcBorders>
          </w:tcPr>
          <w:p w14:paraId="40C17A42">
            <w:pPr>
              <w:spacing w:after="0" w:line="240" w:lineRule="auto"/>
              <w:jc w:val="center"/>
              <w:rPr>
                <w:rFonts w:ascii="Times New Roman" w:hAnsi="Times New Roman"/>
              </w:rPr>
            </w:pPr>
            <w:r>
              <w:rPr>
                <w:rFonts w:ascii="Times New Roman" w:hAnsi="Times New Roman"/>
              </w:rPr>
              <w:t>Kelas</w:t>
            </w:r>
          </w:p>
        </w:tc>
        <w:tc>
          <w:tcPr>
            <w:tcW w:w="2829" w:type="dxa"/>
            <w:tcBorders>
              <w:top w:val="single" w:color="auto" w:sz="4" w:space="0"/>
              <w:left w:val="single" w:color="auto" w:sz="4" w:space="0"/>
              <w:bottom w:val="single" w:color="auto" w:sz="4" w:space="0"/>
              <w:right w:val="single" w:color="auto" w:sz="4" w:space="0"/>
            </w:tcBorders>
          </w:tcPr>
          <w:p w14:paraId="1183E553">
            <w:pPr>
              <w:spacing w:after="0" w:line="240" w:lineRule="auto"/>
              <w:jc w:val="center"/>
              <w:rPr>
                <w:rFonts w:ascii="Times New Roman" w:hAnsi="Times New Roman"/>
              </w:rPr>
            </w:pPr>
            <w:r>
              <w:rPr>
                <w:rFonts w:ascii="Times New Roman" w:hAnsi="Times New Roman"/>
              </w:rPr>
              <w:t>L</w:t>
            </w:r>
            <w:r>
              <w:rPr>
                <w:rFonts w:ascii="Times New Roman" w:hAnsi="Times New Roman"/>
                <w:vertAlign w:val="subscript"/>
              </w:rPr>
              <w:t>o</w:t>
            </w:r>
          </w:p>
        </w:tc>
        <w:tc>
          <w:tcPr>
            <w:tcW w:w="2829" w:type="dxa"/>
            <w:tcBorders>
              <w:top w:val="single" w:color="auto" w:sz="4" w:space="0"/>
              <w:left w:val="single" w:color="auto" w:sz="4" w:space="0"/>
              <w:bottom w:val="single" w:color="auto" w:sz="4" w:space="0"/>
              <w:right w:val="single" w:color="auto" w:sz="4" w:space="0"/>
            </w:tcBorders>
          </w:tcPr>
          <w:p w14:paraId="21FBB8CD">
            <w:pPr>
              <w:spacing w:after="0" w:line="240" w:lineRule="auto"/>
              <w:jc w:val="center"/>
              <w:rPr>
                <w:rFonts w:ascii="Times New Roman" w:hAnsi="Times New Roman"/>
              </w:rPr>
            </w:pPr>
            <w:r>
              <w:rPr>
                <w:rFonts w:ascii="Times New Roman" w:hAnsi="Times New Roman"/>
              </w:rPr>
              <w:t>L</w:t>
            </w:r>
            <w:r>
              <w:rPr>
                <w:rFonts w:ascii="Times New Roman" w:hAnsi="Times New Roman"/>
                <w:vertAlign w:val="subscript"/>
              </w:rPr>
              <w:t>tabel</w:t>
            </w:r>
          </w:p>
        </w:tc>
      </w:tr>
      <w:tr w14:paraId="6C9B1CDC">
        <w:tblPrEx>
          <w:tblCellMar>
            <w:top w:w="0" w:type="dxa"/>
            <w:left w:w="108" w:type="dxa"/>
            <w:bottom w:w="0" w:type="dxa"/>
            <w:right w:w="108" w:type="dxa"/>
          </w:tblCellMar>
        </w:tblPrEx>
        <w:tc>
          <w:tcPr>
            <w:tcW w:w="2829" w:type="dxa"/>
            <w:tcBorders>
              <w:top w:val="single" w:color="auto" w:sz="4" w:space="0"/>
              <w:left w:val="single" w:color="auto" w:sz="4" w:space="0"/>
              <w:bottom w:val="single" w:color="auto" w:sz="4" w:space="0"/>
              <w:right w:val="single" w:color="auto" w:sz="4" w:space="0"/>
            </w:tcBorders>
          </w:tcPr>
          <w:p w14:paraId="13FD475D">
            <w:pPr>
              <w:spacing w:after="0" w:line="240" w:lineRule="auto"/>
              <w:jc w:val="center"/>
              <w:rPr>
                <w:rFonts w:ascii="Times New Roman" w:hAnsi="Times New Roman"/>
              </w:rPr>
            </w:pPr>
            <w:r>
              <w:rPr>
                <w:rFonts w:ascii="Times New Roman" w:hAnsi="Times New Roman"/>
              </w:rPr>
              <w:t>Eksperimen</w:t>
            </w:r>
          </w:p>
        </w:tc>
        <w:tc>
          <w:tcPr>
            <w:tcW w:w="2829" w:type="dxa"/>
            <w:tcBorders>
              <w:top w:val="single" w:color="auto" w:sz="4" w:space="0"/>
              <w:left w:val="single" w:color="auto" w:sz="4" w:space="0"/>
              <w:bottom w:val="single" w:color="auto" w:sz="4" w:space="0"/>
              <w:right w:val="single" w:color="auto" w:sz="4" w:space="0"/>
            </w:tcBorders>
          </w:tcPr>
          <w:p w14:paraId="3B4A6CCA">
            <w:pPr>
              <w:spacing w:after="0" w:line="240" w:lineRule="auto"/>
              <w:jc w:val="center"/>
              <w:rPr>
                <w:rFonts w:ascii="Times New Roman" w:hAnsi="Times New Roman"/>
              </w:rPr>
            </w:pPr>
            <w:r>
              <w:rPr>
                <w:rFonts w:ascii="Times New Roman" w:hAnsi="Times New Roman"/>
              </w:rPr>
              <w:t>0,158</w:t>
            </w:r>
          </w:p>
        </w:tc>
        <w:tc>
          <w:tcPr>
            <w:tcW w:w="2829" w:type="dxa"/>
            <w:tcBorders>
              <w:top w:val="single" w:color="auto" w:sz="4" w:space="0"/>
              <w:left w:val="single" w:color="auto" w:sz="4" w:space="0"/>
              <w:bottom w:val="single" w:color="auto" w:sz="4" w:space="0"/>
              <w:right w:val="single" w:color="auto" w:sz="4" w:space="0"/>
            </w:tcBorders>
          </w:tcPr>
          <w:p w14:paraId="1F33857D">
            <w:pPr>
              <w:spacing w:after="0" w:line="240" w:lineRule="auto"/>
              <w:jc w:val="center"/>
              <w:rPr>
                <w:rFonts w:ascii="Times New Roman" w:hAnsi="Times New Roman"/>
              </w:rPr>
            </w:pPr>
            <w:r>
              <w:rPr>
                <w:rFonts w:ascii="Times New Roman" w:hAnsi="Times New Roman"/>
              </w:rPr>
              <w:t>0,161</w:t>
            </w:r>
          </w:p>
        </w:tc>
      </w:tr>
      <w:tr w14:paraId="6E274084">
        <w:tblPrEx>
          <w:tblCellMar>
            <w:top w:w="0" w:type="dxa"/>
            <w:left w:w="108" w:type="dxa"/>
            <w:bottom w:w="0" w:type="dxa"/>
            <w:right w:w="108" w:type="dxa"/>
          </w:tblCellMar>
        </w:tblPrEx>
        <w:tc>
          <w:tcPr>
            <w:tcW w:w="2829" w:type="dxa"/>
            <w:tcBorders>
              <w:top w:val="single" w:color="auto" w:sz="4" w:space="0"/>
              <w:left w:val="single" w:color="auto" w:sz="4" w:space="0"/>
              <w:bottom w:val="single" w:color="auto" w:sz="4" w:space="0"/>
              <w:right w:val="single" w:color="auto" w:sz="4" w:space="0"/>
            </w:tcBorders>
          </w:tcPr>
          <w:p w14:paraId="241C8AC2">
            <w:pPr>
              <w:spacing w:after="0" w:line="240" w:lineRule="auto"/>
              <w:jc w:val="center"/>
              <w:rPr>
                <w:rFonts w:ascii="Times New Roman" w:hAnsi="Times New Roman"/>
              </w:rPr>
            </w:pPr>
            <w:r>
              <w:rPr>
                <w:rFonts w:ascii="Times New Roman" w:hAnsi="Times New Roman"/>
              </w:rPr>
              <w:t>Kontrol</w:t>
            </w:r>
          </w:p>
        </w:tc>
        <w:tc>
          <w:tcPr>
            <w:tcW w:w="2829" w:type="dxa"/>
            <w:tcBorders>
              <w:top w:val="single" w:color="auto" w:sz="4" w:space="0"/>
              <w:left w:val="single" w:color="auto" w:sz="4" w:space="0"/>
              <w:bottom w:val="single" w:color="auto" w:sz="4" w:space="0"/>
              <w:right w:val="single" w:color="auto" w:sz="4" w:space="0"/>
            </w:tcBorders>
          </w:tcPr>
          <w:p w14:paraId="1DC8DF45">
            <w:pPr>
              <w:spacing w:after="0" w:line="240" w:lineRule="auto"/>
              <w:jc w:val="center"/>
              <w:rPr>
                <w:rFonts w:ascii="Times New Roman" w:hAnsi="Times New Roman"/>
              </w:rPr>
            </w:pPr>
            <w:r>
              <w:rPr>
                <w:rFonts w:ascii="Times New Roman" w:hAnsi="Times New Roman"/>
              </w:rPr>
              <w:t>0,127</w:t>
            </w:r>
          </w:p>
        </w:tc>
        <w:tc>
          <w:tcPr>
            <w:tcW w:w="2829" w:type="dxa"/>
            <w:tcBorders>
              <w:top w:val="single" w:color="auto" w:sz="4" w:space="0"/>
              <w:left w:val="single" w:color="auto" w:sz="4" w:space="0"/>
              <w:bottom w:val="single" w:color="auto" w:sz="4" w:space="0"/>
              <w:right w:val="single" w:color="auto" w:sz="4" w:space="0"/>
            </w:tcBorders>
          </w:tcPr>
          <w:p w14:paraId="60FEC310">
            <w:pPr>
              <w:spacing w:after="0" w:line="240" w:lineRule="auto"/>
              <w:jc w:val="center"/>
              <w:rPr>
                <w:rFonts w:ascii="Times New Roman" w:hAnsi="Times New Roman"/>
              </w:rPr>
            </w:pPr>
            <w:r>
              <w:rPr>
                <w:rFonts w:ascii="Times New Roman" w:hAnsi="Times New Roman"/>
              </w:rPr>
              <w:t>0,166</w:t>
            </w:r>
          </w:p>
        </w:tc>
      </w:tr>
    </w:tbl>
    <w:p w14:paraId="73B7E377">
      <w:pPr>
        <w:spacing w:before="120" w:after="0" w:line="360" w:lineRule="auto"/>
        <w:ind w:firstLine="567"/>
        <w:jc w:val="both"/>
        <w:rPr>
          <w:rFonts w:ascii="Times New Roman" w:hAnsi="Times New Roman"/>
          <w:sz w:val="24"/>
          <w:szCs w:val="24"/>
        </w:rPr>
      </w:pPr>
      <w:r>
        <w:rPr>
          <w:rFonts w:ascii="Times New Roman" w:hAnsi="Times New Roman"/>
          <w:sz w:val="24"/>
          <w:szCs w:val="24"/>
        </w:rPr>
        <w:t>Uji normalitas pada kelas Gasing diperoleh L</w:t>
      </w:r>
      <w:r>
        <w:rPr>
          <w:rFonts w:ascii="Times New Roman" w:hAnsi="Times New Roman"/>
          <w:sz w:val="24"/>
          <w:szCs w:val="24"/>
          <w:vertAlign w:val="subscript"/>
        </w:rPr>
        <w:t>o</w:t>
      </w:r>
      <w:r>
        <w:rPr>
          <w:rFonts w:ascii="Times New Roman" w:hAnsi="Times New Roman"/>
          <w:sz w:val="24"/>
          <w:szCs w:val="24"/>
        </w:rPr>
        <w:t xml:space="preserve"> &lt; L</w:t>
      </w:r>
      <w:r>
        <w:rPr>
          <w:rFonts w:ascii="Times New Roman" w:hAnsi="Times New Roman"/>
          <w:sz w:val="24"/>
          <w:szCs w:val="24"/>
          <w:vertAlign w:val="subscript"/>
        </w:rPr>
        <w:t>(0,05)(30)</w:t>
      </w:r>
      <w:r>
        <w:rPr>
          <w:rFonts w:ascii="Times New Roman" w:hAnsi="Times New Roman"/>
          <w:sz w:val="24"/>
          <w:szCs w:val="24"/>
        </w:rPr>
        <w:t xml:space="preserve"> atau 0,158 &lt; 0,161 untuk ɑ = 5% dari jumlah siswa 30, karena L</w:t>
      </w:r>
      <w:r>
        <w:rPr>
          <w:rFonts w:ascii="Times New Roman" w:hAnsi="Times New Roman"/>
          <w:sz w:val="24"/>
          <w:szCs w:val="24"/>
          <w:vertAlign w:val="subscript"/>
        </w:rPr>
        <w:t>o</w:t>
      </w:r>
      <w:r>
        <w:rPr>
          <w:rFonts w:ascii="Times New Roman" w:hAnsi="Times New Roman"/>
          <w:sz w:val="24"/>
          <w:szCs w:val="24"/>
        </w:rPr>
        <w:t xml:space="preserve"> &lt; L</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o</w:t>
      </w:r>
      <w:r>
        <w:rPr>
          <w:rFonts w:ascii="Times New Roman" w:hAnsi="Times New Roman"/>
          <w:sz w:val="24"/>
          <w:szCs w:val="24"/>
        </w:rPr>
        <w:t xml:space="preserve"> diterima, sehingga data </w:t>
      </w:r>
      <w:r>
        <w:rPr>
          <w:rFonts w:ascii="Times New Roman" w:hAnsi="Times New Roman"/>
          <w:i/>
          <w:sz w:val="24"/>
          <w:szCs w:val="24"/>
        </w:rPr>
        <w:t>post test</w:t>
      </w:r>
      <w:r>
        <w:rPr>
          <w:rFonts w:ascii="Times New Roman" w:hAnsi="Times New Roman"/>
          <w:sz w:val="24"/>
          <w:szCs w:val="24"/>
        </w:rPr>
        <w:t xml:space="preserve"> menggunakan Gasing berdistribusi normal. Uji normalitas pada kelas Kontrol diperoleh L</w:t>
      </w:r>
      <w:r>
        <w:rPr>
          <w:rFonts w:ascii="Times New Roman" w:hAnsi="Times New Roman"/>
          <w:sz w:val="24"/>
          <w:szCs w:val="24"/>
          <w:vertAlign w:val="subscript"/>
        </w:rPr>
        <w:t>o</w:t>
      </w:r>
      <w:r>
        <w:rPr>
          <w:rFonts w:ascii="Times New Roman" w:hAnsi="Times New Roman"/>
          <w:sz w:val="24"/>
          <w:szCs w:val="24"/>
        </w:rPr>
        <w:t xml:space="preserve"> &lt; L</w:t>
      </w:r>
      <w:r>
        <w:rPr>
          <w:rFonts w:ascii="Times New Roman" w:hAnsi="Times New Roman"/>
          <w:sz w:val="24"/>
          <w:szCs w:val="24"/>
          <w:vertAlign w:val="subscript"/>
        </w:rPr>
        <w:t>(0,05)(27)</w:t>
      </w:r>
      <w:r>
        <w:rPr>
          <w:rFonts w:ascii="Times New Roman" w:hAnsi="Times New Roman"/>
          <w:sz w:val="24"/>
          <w:szCs w:val="24"/>
        </w:rPr>
        <w:t xml:space="preserve"> atau 0,127 &lt; 0,166 untuk ɑ = 5% dari jumlah siswa 27, sehingga L</w:t>
      </w:r>
      <w:r>
        <w:rPr>
          <w:rFonts w:ascii="Times New Roman" w:hAnsi="Times New Roman"/>
          <w:sz w:val="24"/>
          <w:szCs w:val="24"/>
          <w:vertAlign w:val="subscript"/>
        </w:rPr>
        <w:t xml:space="preserve">o </w:t>
      </w:r>
      <w:r>
        <w:rPr>
          <w:rFonts w:ascii="Times New Roman" w:hAnsi="Times New Roman"/>
          <w:sz w:val="24"/>
          <w:szCs w:val="24"/>
        </w:rPr>
        <w:t>&lt; L</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o</w:t>
      </w:r>
      <w:r>
        <w:rPr>
          <w:rFonts w:ascii="Times New Roman" w:hAnsi="Times New Roman"/>
          <w:sz w:val="24"/>
          <w:szCs w:val="24"/>
        </w:rPr>
        <w:t xml:space="preserve"> diterima, sehingga data </w:t>
      </w:r>
      <w:r>
        <w:rPr>
          <w:rFonts w:ascii="Times New Roman" w:hAnsi="Times New Roman"/>
          <w:i/>
          <w:sz w:val="24"/>
          <w:szCs w:val="24"/>
        </w:rPr>
        <w:t>post test</w:t>
      </w:r>
      <w:r>
        <w:rPr>
          <w:rFonts w:ascii="Times New Roman" w:hAnsi="Times New Roman"/>
          <w:sz w:val="24"/>
          <w:szCs w:val="24"/>
        </w:rPr>
        <w:t xml:space="preserve"> kelas menggunkan Konvensional berdistribusi normal. </w:t>
      </w:r>
    </w:p>
    <w:p w14:paraId="2CFB0B2F">
      <w:pPr>
        <w:pStyle w:val="18"/>
        <w:numPr>
          <w:ilvl w:val="0"/>
          <w:numId w:val="1"/>
        </w:numPr>
        <w:spacing w:after="0" w:line="360" w:lineRule="auto"/>
        <w:ind w:left="851" w:hanging="284"/>
        <w:jc w:val="both"/>
        <w:rPr>
          <w:rFonts w:ascii="Times New Roman" w:hAnsi="Times New Roman" w:eastAsia="Times New Roman"/>
          <w:sz w:val="24"/>
          <w:szCs w:val="24"/>
        </w:rPr>
      </w:pPr>
      <w:r>
        <w:rPr>
          <w:rFonts w:ascii="Times New Roman" w:hAnsi="Times New Roman" w:eastAsia="Times New Roman"/>
          <w:sz w:val="24"/>
          <w:szCs w:val="24"/>
        </w:rPr>
        <w:t xml:space="preserve">Uji Homogenitas </w:t>
      </w:r>
    </w:p>
    <w:p w14:paraId="3E0B1D0E">
      <w:pPr>
        <w:spacing w:after="0" w:line="360" w:lineRule="auto"/>
        <w:ind w:firstLine="567"/>
        <w:jc w:val="both"/>
        <w:rPr>
          <w:rFonts w:ascii="Times New Roman" w:hAnsi="Times New Roman"/>
          <w:sz w:val="24"/>
          <w:szCs w:val="24"/>
        </w:rPr>
      </w:pPr>
      <w:r>
        <w:rPr>
          <w:rFonts w:ascii="Times New Roman" w:hAnsi="Times New Roman"/>
          <w:sz w:val="24"/>
          <w:szCs w:val="24"/>
        </w:rPr>
        <w:t>Perhitungan uji homogenitas varians data menggunakan uji F. Hasil pengujian homogenitas disusun pada tabel berikut:</w:t>
      </w:r>
    </w:p>
    <w:p w14:paraId="630680DE">
      <w:pPr>
        <w:pStyle w:val="18"/>
        <w:spacing w:after="0" w:line="240" w:lineRule="auto"/>
        <w:ind w:left="927"/>
        <w:jc w:val="center"/>
        <w:rPr>
          <w:rFonts w:ascii="Times New Roman" w:hAnsi="Times New Roman"/>
          <w:b/>
          <w:i/>
          <w:sz w:val="24"/>
          <w:szCs w:val="24"/>
        </w:rPr>
      </w:pPr>
      <w:r>
        <w:rPr>
          <w:rFonts w:ascii="Times New Roman" w:hAnsi="Times New Roman"/>
          <w:b/>
          <w:sz w:val="24"/>
          <w:szCs w:val="24"/>
        </w:rPr>
        <w:t xml:space="preserve">Tabel 4.12 Hasil Homogenitas Varians Data </w:t>
      </w:r>
      <w:r>
        <w:rPr>
          <w:rFonts w:ascii="Times New Roman" w:hAnsi="Times New Roman"/>
          <w:b/>
          <w:i/>
          <w:sz w:val="24"/>
          <w:szCs w:val="24"/>
        </w:rPr>
        <w:t>Post Test</w:t>
      </w:r>
    </w:p>
    <w:tbl>
      <w:tblPr>
        <w:tblStyle w:val="5"/>
        <w:tblW w:w="0" w:type="auto"/>
        <w:tblInd w:w="534" w:type="dxa"/>
        <w:tblLayout w:type="autofit"/>
        <w:tblCellMar>
          <w:top w:w="0" w:type="dxa"/>
          <w:left w:w="108" w:type="dxa"/>
          <w:bottom w:w="0" w:type="dxa"/>
          <w:right w:w="108" w:type="dxa"/>
        </w:tblCellMar>
      </w:tblPr>
      <w:tblGrid>
        <w:gridCol w:w="4252"/>
        <w:gridCol w:w="1559"/>
        <w:gridCol w:w="1560"/>
      </w:tblGrid>
      <w:tr w14:paraId="393E149D">
        <w:tc>
          <w:tcPr>
            <w:tcW w:w="4252" w:type="dxa"/>
            <w:tcBorders>
              <w:top w:val="single" w:color="auto" w:sz="4" w:space="0"/>
              <w:left w:val="single" w:color="auto" w:sz="4" w:space="0"/>
              <w:bottom w:val="single" w:color="auto" w:sz="4" w:space="0"/>
              <w:right w:val="single" w:color="auto" w:sz="4" w:space="0"/>
            </w:tcBorders>
          </w:tcPr>
          <w:p w14:paraId="66A70565">
            <w:pPr>
              <w:spacing w:after="0" w:line="240" w:lineRule="auto"/>
              <w:jc w:val="center"/>
              <w:rPr>
                <w:rFonts w:ascii="Times New Roman" w:hAnsi="Times New Roman"/>
                <w:lang w:val="id-ID"/>
              </w:rPr>
            </w:pPr>
            <w:r>
              <w:rPr>
                <w:rFonts w:ascii="Times New Roman" w:hAnsi="Times New Roman"/>
              </w:rPr>
              <w:t>Kelas</w:t>
            </w:r>
          </w:p>
        </w:tc>
        <w:tc>
          <w:tcPr>
            <w:tcW w:w="1559" w:type="dxa"/>
            <w:tcBorders>
              <w:top w:val="single" w:color="auto" w:sz="4" w:space="0"/>
              <w:left w:val="single" w:color="auto" w:sz="4" w:space="0"/>
              <w:bottom w:val="single" w:color="auto" w:sz="4" w:space="0"/>
              <w:right w:val="single" w:color="auto" w:sz="4" w:space="0"/>
            </w:tcBorders>
          </w:tcPr>
          <w:p w14:paraId="7452E44E">
            <w:pPr>
              <w:spacing w:after="0" w:line="240" w:lineRule="auto"/>
              <w:jc w:val="center"/>
              <w:rPr>
                <w:rFonts w:ascii="Times New Roman" w:hAnsi="Times New Roman"/>
                <w:lang w:val="id-ID"/>
              </w:rPr>
            </w:pPr>
            <w:r>
              <w:rPr>
                <w:rFonts w:ascii="Times New Roman" w:hAnsi="Times New Roman"/>
                <w:lang w:val="id-ID"/>
              </w:rPr>
              <w:object>
                <v:shape id="_x0000_i1025" o:spt="75" type="#_x0000_t75" style="height:11.55pt;width:11.5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p>
        </w:tc>
        <w:tc>
          <w:tcPr>
            <w:tcW w:w="1560" w:type="dxa"/>
            <w:tcBorders>
              <w:top w:val="single" w:color="auto" w:sz="4" w:space="0"/>
              <w:left w:val="single" w:color="auto" w:sz="4" w:space="0"/>
              <w:bottom w:val="single" w:color="auto" w:sz="4" w:space="0"/>
              <w:right w:val="single" w:color="auto" w:sz="4" w:space="0"/>
            </w:tcBorders>
          </w:tcPr>
          <w:p w14:paraId="651BC69F">
            <w:pPr>
              <w:spacing w:after="0" w:line="240" w:lineRule="auto"/>
              <w:jc w:val="center"/>
              <w:rPr>
                <w:rFonts w:ascii="Times New Roman" w:hAnsi="Times New Roman"/>
              </w:rPr>
            </w:pPr>
            <w:r>
              <w:rPr>
                <w:rFonts w:ascii="Times New Roman" w:hAnsi="Times New Roman"/>
              </w:rPr>
              <w:t>F</w:t>
            </w:r>
            <w:r>
              <w:rPr>
                <w:rFonts w:ascii="Times New Roman" w:hAnsi="Times New Roman"/>
                <w:vertAlign w:val="subscript"/>
              </w:rPr>
              <w:t>(0,05)(29,26)</w:t>
            </w:r>
          </w:p>
        </w:tc>
      </w:tr>
      <w:tr w14:paraId="113F8736">
        <w:tblPrEx>
          <w:tblCellMar>
            <w:top w:w="0" w:type="dxa"/>
            <w:left w:w="108" w:type="dxa"/>
            <w:bottom w:w="0" w:type="dxa"/>
            <w:right w:w="108" w:type="dxa"/>
          </w:tblCellMar>
        </w:tblPrEx>
        <w:tc>
          <w:tcPr>
            <w:tcW w:w="4252" w:type="dxa"/>
            <w:tcBorders>
              <w:top w:val="single" w:color="auto" w:sz="4" w:space="0"/>
              <w:left w:val="single" w:color="auto" w:sz="4" w:space="0"/>
              <w:bottom w:val="single" w:color="auto" w:sz="4" w:space="0"/>
              <w:right w:val="single" w:color="auto" w:sz="4" w:space="0"/>
            </w:tcBorders>
          </w:tcPr>
          <w:p w14:paraId="03262801">
            <w:pPr>
              <w:spacing w:after="0" w:line="240" w:lineRule="auto"/>
              <w:jc w:val="center"/>
              <w:rPr>
                <w:rFonts w:ascii="Times New Roman" w:hAnsi="Times New Roman"/>
              </w:rPr>
            </w:pPr>
            <w:r>
              <w:rPr>
                <w:rFonts w:ascii="Times New Roman" w:hAnsi="Times New Roman"/>
              </w:rPr>
              <w:t>Eksperimen</w:t>
            </w:r>
          </w:p>
          <w:p w14:paraId="0704C362">
            <w:pPr>
              <w:spacing w:after="0" w:line="240" w:lineRule="auto"/>
              <w:jc w:val="center"/>
              <w:rPr>
                <w:rFonts w:ascii="Times New Roman" w:hAnsi="Times New Roman"/>
                <w:lang w:val="id-ID"/>
              </w:rPr>
            </w:pPr>
            <w:r>
              <w:rPr>
                <w:rFonts w:ascii="Times New Roman" w:hAnsi="Times New Roman"/>
              </w:rPr>
              <w:t>kontrol</w:t>
            </w:r>
          </w:p>
        </w:tc>
        <w:tc>
          <w:tcPr>
            <w:tcW w:w="1559" w:type="dxa"/>
            <w:tcBorders>
              <w:top w:val="single" w:color="auto" w:sz="4" w:space="0"/>
              <w:left w:val="single" w:color="auto" w:sz="4" w:space="0"/>
              <w:bottom w:val="single" w:color="auto" w:sz="4" w:space="0"/>
              <w:right w:val="single" w:color="auto" w:sz="4" w:space="0"/>
            </w:tcBorders>
            <w:vAlign w:val="center"/>
          </w:tcPr>
          <w:p w14:paraId="5EC1C8AD">
            <w:pPr>
              <w:spacing w:after="0" w:line="240" w:lineRule="auto"/>
              <w:jc w:val="center"/>
              <w:rPr>
                <w:rFonts w:ascii="Times New Roman" w:hAnsi="Times New Roman"/>
                <w:lang w:val="id-ID"/>
              </w:rPr>
            </w:pPr>
            <w:r>
              <w:rPr>
                <w:rFonts w:ascii="Times New Roman" w:hAnsi="Times New Roman"/>
              </w:rPr>
              <w:t>0,477</w:t>
            </w:r>
          </w:p>
        </w:tc>
        <w:tc>
          <w:tcPr>
            <w:tcW w:w="1560" w:type="dxa"/>
            <w:tcBorders>
              <w:top w:val="single" w:color="auto" w:sz="4" w:space="0"/>
              <w:left w:val="single" w:color="auto" w:sz="4" w:space="0"/>
              <w:bottom w:val="single" w:color="auto" w:sz="4" w:space="0"/>
              <w:right w:val="single" w:color="auto" w:sz="4" w:space="0"/>
            </w:tcBorders>
            <w:vAlign w:val="center"/>
          </w:tcPr>
          <w:p w14:paraId="702C455B">
            <w:pPr>
              <w:spacing w:after="0" w:line="240" w:lineRule="auto"/>
              <w:jc w:val="center"/>
              <w:rPr>
                <w:rFonts w:ascii="Times New Roman" w:hAnsi="Times New Roman"/>
                <w:lang w:val="id-ID"/>
              </w:rPr>
            </w:pPr>
            <w:r>
              <w:rPr>
                <w:rFonts w:ascii="Times New Roman" w:hAnsi="Times New Roman"/>
              </w:rPr>
              <w:t>0,531</w:t>
            </w:r>
          </w:p>
        </w:tc>
      </w:tr>
    </w:tbl>
    <w:p w14:paraId="1DCA20F6">
      <w:pPr>
        <w:spacing w:before="120" w:after="0" w:line="360" w:lineRule="auto"/>
        <w:ind w:firstLine="567"/>
        <w:jc w:val="both"/>
        <w:rPr>
          <w:rFonts w:ascii="Times New Roman" w:hAnsi="Times New Roman"/>
          <w:sz w:val="24"/>
          <w:szCs w:val="24"/>
        </w:rPr>
      </w:pPr>
      <w:r>
        <w:rPr>
          <w:rFonts w:ascii="Times New Roman" w:hAnsi="Times New Roman"/>
          <w:sz w:val="24"/>
          <w:szCs w:val="24"/>
        </w:rPr>
        <w:t xml:space="preserve">Uji homogenitas pada kelas eksperimen dan kelas kontrol diperoleh </w:t>
      </w:r>
      <w:r>
        <w:rPr>
          <w:lang w:val="id-ID"/>
        </w:rPr>
        <w:object>
          <v:shape id="_x0000_i1026" o:spt="75" type="#_x0000_t75" style="height:11.55pt;width:11.5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10">
            <o:LockedField>false</o:LockedField>
          </o:OLEObject>
        </w:object>
      </w:r>
      <w:r>
        <w:rPr>
          <w:rFonts w:ascii="Times New Roman" w:hAnsi="Times New Roman"/>
          <w:sz w:val="24"/>
          <w:szCs w:val="24"/>
        </w:rPr>
        <w:t>= 0,477 dan F</w:t>
      </w:r>
      <w:r>
        <w:rPr>
          <w:rFonts w:ascii="Times New Roman" w:hAnsi="Times New Roman"/>
          <w:sz w:val="24"/>
          <w:szCs w:val="24"/>
          <w:vertAlign w:val="subscript"/>
        </w:rPr>
        <w:t>(0,05)(29,26)</w:t>
      </w:r>
      <w:r>
        <w:rPr>
          <w:rFonts w:ascii="Times New Roman" w:hAnsi="Times New Roman"/>
          <w:sz w:val="24"/>
          <w:szCs w:val="24"/>
        </w:rPr>
        <w:t xml:space="preserve"> = 0,531 untuk α = 5% dan F</w:t>
      </w:r>
      <w:r>
        <w:rPr>
          <w:rFonts w:ascii="Times New Roman" w:hAnsi="Times New Roman"/>
          <w:sz w:val="24"/>
          <w:szCs w:val="24"/>
          <w:vertAlign w:val="subscript"/>
        </w:rPr>
        <w:t>(0,05)(29,26).</w:t>
      </w:r>
      <w:r>
        <w:rPr>
          <w:rFonts w:ascii="Times New Roman" w:hAnsi="Times New Roman"/>
          <w:sz w:val="24"/>
          <w:szCs w:val="24"/>
        </w:rPr>
        <w:t xml:space="preserve"> Namun tidak terdapat pada daftar I untuk pembilang, maka digunakan dengan cara interpolasi. Berdasarkan kriteria pengujian hipotesis  </w:t>
      </w:r>
      <w:r>
        <w:rPr>
          <w:lang w:val="id-ID"/>
        </w:rPr>
        <w:object>
          <v:shape id="_x0000_i1027" o:spt="75" type="#_x0000_t75" style="height:11.55pt;width:11.55pt;" o:ole="t" filled="f" o:preferrelative="t" stroked="f" coordsize="21600,21600">
            <v:path/>
            <v:fill on="f" focussize="0,0"/>
            <v:stroke on="f" joinstyle="miter"/>
            <v:imagedata r:id="rId9" o:title=""/>
            <o:lock v:ext="edit" aspectratio="t"/>
            <w10:wrap type="none"/>
            <w10:anchorlock/>
          </v:shape>
          <o:OLEObject Type="Embed" ProgID="Equation.3" ShapeID="_x0000_i1027" DrawAspect="Content" ObjectID="_1468075727" r:id="rId11">
            <o:LockedField>false</o:LockedField>
          </o:OLEObject>
        </w:object>
      </w:r>
      <w:r>
        <w:rPr>
          <w:rFonts w:ascii="Times New Roman" w:hAnsi="Times New Roman"/>
          <w:sz w:val="24"/>
          <w:szCs w:val="24"/>
        </w:rPr>
        <w:t xml:space="preserve">&lt; </w:t>
      </w:r>
      <w:r>
        <w:rPr>
          <w:lang w:val="id-ID"/>
        </w:rPr>
        <w:object>
          <v:shape id="_x0000_i1028" o:spt="75" type="#_x0000_t75" style="height:18.35pt;width:39.4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r>
        <w:rPr>
          <w:rFonts w:ascii="Times New Roman" w:hAnsi="Times New Roman"/>
          <w:sz w:val="24"/>
          <w:szCs w:val="24"/>
        </w:rPr>
        <w:t xml:space="preserve">. </w:t>
      </w:r>
      <w:r>
        <w:rPr>
          <w:rFonts w:ascii="Times New Roman" w:hAnsi="Times New Roman"/>
          <w:i/>
          <w:sz w:val="24"/>
          <w:szCs w:val="24"/>
        </w:rPr>
        <w:t>Post test</w:t>
      </w:r>
      <w:r>
        <w:rPr>
          <w:rFonts w:ascii="Times New Roman" w:hAnsi="Times New Roman"/>
          <w:sz w:val="24"/>
          <w:szCs w:val="24"/>
        </w:rPr>
        <w:t xml:space="preserve"> kelas eksperimen dan kontrol memiliki nilai </w:t>
      </w:r>
      <w:r>
        <w:rPr>
          <w:lang w:val="id-ID"/>
        </w:rPr>
        <w:object>
          <v:shape id="_x0000_i1029" o:spt="75" type="#_x0000_t75" style="height:18.35pt;width:29.9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r>
        <w:rPr>
          <w:rFonts w:ascii="Times New Roman" w:hAnsi="Times New Roman"/>
          <w:sz w:val="24"/>
          <w:szCs w:val="24"/>
        </w:rPr>
        <w:t xml:space="preserve"> = 0,477 &lt; </w:t>
      </w:r>
      <w:r>
        <w:rPr>
          <w:lang w:val="id-ID"/>
        </w:rPr>
        <w:object>
          <v:shape id="_x0000_i1030" o:spt="75" type="#_x0000_t75" style="height:18.35pt;width:24.45pt;" o:ole="t" filled="f" o:preferrelative="t" stroked="f" coordsize="21600,21600">
            <v:path/>
            <v:fill on="f" focussize="0,0"/>
            <v:stroke on="f" joinstyle="miter"/>
            <v:imagedata r:id="rId17" o:title=""/>
            <o:lock v:ext="edit" aspectratio="t"/>
            <w10:wrap type="none"/>
            <w10:anchorlock/>
          </v:shape>
          <o:OLEObject Type="Embed" ProgID="Equation.3" ShapeID="_x0000_i1030" DrawAspect="Content" ObjectID="_1468075730" r:id="rId16">
            <o:LockedField>false</o:LockedField>
          </o:OLEObject>
        </w:object>
      </w:r>
      <w:r>
        <w:rPr>
          <w:rFonts w:ascii="Times New Roman" w:hAnsi="Times New Roman"/>
          <w:sz w:val="24"/>
          <w:szCs w:val="24"/>
        </w:rPr>
        <w:t xml:space="preserve"> = 0,531, maka </w:t>
      </w:r>
      <w:r>
        <w:rPr>
          <w:lang w:val="id-ID"/>
        </w:rPr>
        <w:object>
          <v:shape id="_x0000_i1031" o:spt="75" type="#_x0000_t75" style="height:18.35pt;width:18.35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r>
        <w:rPr>
          <w:rFonts w:ascii="Times New Roman" w:hAnsi="Times New Roman"/>
          <w:sz w:val="24"/>
          <w:szCs w:val="24"/>
        </w:rPr>
        <w:t xml:space="preserve"> diterima sehingga dinyatakan data </w:t>
      </w:r>
      <w:r>
        <w:rPr>
          <w:rFonts w:ascii="Times New Roman" w:hAnsi="Times New Roman"/>
          <w:i/>
          <w:sz w:val="24"/>
          <w:szCs w:val="24"/>
        </w:rPr>
        <w:t>post test</w:t>
      </w:r>
      <w:r>
        <w:rPr>
          <w:rFonts w:ascii="Times New Roman" w:hAnsi="Times New Roman"/>
          <w:sz w:val="24"/>
          <w:szCs w:val="24"/>
        </w:rPr>
        <w:t xml:space="preserve"> kelas IV A (eksperimen) dan kelas IV B (kontrol) homogen atau sama.</w:t>
      </w:r>
    </w:p>
    <w:p w14:paraId="2F5C90E1">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Selanjutnya pengujian hipotesis dengan menggunakan rumus statistika uji t, hasil uji hipotesis menunjukkan bahwa nilai t</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sebesar 3,85 lebih besar dari t</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sebesar 2,00. Hal ini berarti terdapat pengaruh yang signifikan penggunaan metode Gasing terhadap hasil belajar matematika siswa kelas IV SD Negeri 101818 Pancur Batu T.A 2025/2026. </w:t>
      </w:r>
    </w:p>
    <w:p w14:paraId="54064C42">
      <w:pPr>
        <w:spacing w:after="0" w:line="240" w:lineRule="auto"/>
        <w:jc w:val="center"/>
        <w:rPr>
          <w:rFonts w:ascii="Times New Roman" w:hAnsi="Times New Roman"/>
          <w:b/>
          <w:sz w:val="24"/>
          <w:szCs w:val="24"/>
        </w:rPr>
      </w:pPr>
      <w:r>
        <w:rPr>
          <w:rFonts w:ascii="Times New Roman" w:hAnsi="Times New Roman"/>
          <w:b/>
          <w:sz w:val="24"/>
          <w:szCs w:val="24"/>
        </w:rPr>
        <w:t>Tabel 4.13 Hasil Uji Hipotesis</w:t>
      </w:r>
    </w:p>
    <w:tbl>
      <w:tblPr>
        <w:tblStyle w:val="5"/>
        <w:tblW w:w="0" w:type="auto"/>
        <w:jc w:val="center"/>
        <w:tblLayout w:type="autofit"/>
        <w:tblCellMar>
          <w:top w:w="0" w:type="dxa"/>
          <w:left w:w="108" w:type="dxa"/>
          <w:bottom w:w="0" w:type="dxa"/>
          <w:right w:w="108" w:type="dxa"/>
        </w:tblCellMar>
      </w:tblPr>
      <w:tblGrid>
        <w:gridCol w:w="2829"/>
        <w:gridCol w:w="2829"/>
        <w:gridCol w:w="2829"/>
      </w:tblGrid>
      <w:tr w14:paraId="6680E870">
        <w:tblPrEx>
          <w:tblCellMar>
            <w:top w:w="0" w:type="dxa"/>
            <w:left w:w="108" w:type="dxa"/>
            <w:bottom w:w="0" w:type="dxa"/>
            <w:right w:w="108" w:type="dxa"/>
          </w:tblCellMar>
        </w:tblPrEx>
        <w:trPr>
          <w:jc w:val="center"/>
        </w:trPr>
        <w:tc>
          <w:tcPr>
            <w:tcW w:w="2829" w:type="dxa"/>
            <w:tcBorders>
              <w:top w:val="single" w:color="auto" w:sz="4" w:space="0"/>
              <w:left w:val="single" w:color="auto" w:sz="4" w:space="0"/>
              <w:bottom w:val="single" w:color="auto" w:sz="4" w:space="0"/>
              <w:right w:val="single" w:color="auto" w:sz="4" w:space="0"/>
            </w:tcBorders>
          </w:tcPr>
          <w:p w14:paraId="0781359F">
            <w:pPr>
              <w:spacing w:after="0" w:line="240" w:lineRule="auto"/>
              <w:jc w:val="center"/>
              <w:rPr>
                <w:rFonts w:ascii="Times New Roman" w:hAnsi="Times New Roman"/>
              </w:rPr>
            </w:pPr>
            <w:r>
              <w:rPr>
                <w:rFonts w:ascii="Times New Roman" w:hAnsi="Times New Roman"/>
              </w:rPr>
              <w:t>Kelas</w:t>
            </w:r>
          </w:p>
        </w:tc>
        <w:tc>
          <w:tcPr>
            <w:tcW w:w="2829" w:type="dxa"/>
            <w:tcBorders>
              <w:top w:val="single" w:color="auto" w:sz="4" w:space="0"/>
              <w:left w:val="single" w:color="auto" w:sz="4" w:space="0"/>
              <w:bottom w:val="single" w:color="auto" w:sz="4" w:space="0"/>
              <w:right w:val="single" w:color="auto" w:sz="4" w:space="0"/>
            </w:tcBorders>
          </w:tcPr>
          <w:p w14:paraId="242E2F07">
            <w:pPr>
              <w:spacing w:after="0" w:line="240" w:lineRule="auto"/>
              <w:jc w:val="center"/>
              <w:rPr>
                <w:rFonts w:ascii="Times New Roman" w:hAnsi="Times New Roman"/>
              </w:rPr>
            </w:pPr>
            <w:r>
              <w:rPr>
                <w:rFonts w:ascii="Times New Roman" w:hAnsi="Times New Roman"/>
              </w:rPr>
              <w:t>T</w:t>
            </w:r>
            <w:r>
              <w:rPr>
                <w:rFonts w:ascii="Times New Roman" w:hAnsi="Times New Roman"/>
                <w:vertAlign w:val="subscript"/>
              </w:rPr>
              <w:t>hitung</w:t>
            </w:r>
          </w:p>
        </w:tc>
        <w:tc>
          <w:tcPr>
            <w:tcW w:w="2829" w:type="dxa"/>
            <w:tcBorders>
              <w:top w:val="single" w:color="auto" w:sz="4" w:space="0"/>
              <w:left w:val="single" w:color="auto" w:sz="4" w:space="0"/>
              <w:bottom w:val="single" w:color="auto" w:sz="4" w:space="0"/>
              <w:right w:val="single" w:color="auto" w:sz="4" w:space="0"/>
            </w:tcBorders>
          </w:tcPr>
          <w:p w14:paraId="37325762">
            <w:pPr>
              <w:spacing w:after="0" w:line="240" w:lineRule="auto"/>
              <w:jc w:val="center"/>
              <w:rPr>
                <w:rFonts w:ascii="Times New Roman" w:hAnsi="Times New Roman"/>
              </w:rPr>
            </w:pPr>
            <w:r>
              <w:rPr>
                <w:rFonts w:ascii="Times New Roman" w:hAnsi="Times New Roman"/>
              </w:rPr>
              <w:t>T</w:t>
            </w:r>
            <w:r>
              <w:rPr>
                <w:rFonts w:ascii="Times New Roman" w:hAnsi="Times New Roman"/>
                <w:vertAlign w:val="subscript"/>
              </w:rPr>
              <w:t>tabel</w:t>
            </w:r>
          </w:p>
        </w:tc>
      </w:tr>
      <w:tr w14:paraId="5C066CB5">
        <w:tblPrEx>
          <w:tblCellMar>
            <w:top w:w="0" w:type="dxa"/>
            <w:left w:w="108" w:type="dxa"/>
            <w:bottom w:w="0" w:type="dxa"/>
            <w:right w:w="108" w:type="dxa"/>
          </w:tblCellMar>
        </w:tblPrEx>
        <w:trPr>
          <w:jc w:val="center"/>
        </w:trPr>
        <w:tc>
          <w:tcPr>
            <w:tcW w:w="2829" w:type="dxa"/>
            <w:tcBorders>
              <w:top w:val="single" w:color="auto" w:sz="4" w:space="0"/>
              <w:left w:val="single" w:color="auto" w:sz="4" w:space="0"/>
              <w:bottom w:val="single" w:color="auto" w:sz="4" w:space="0"/>
              <w:right w:val="single" w:color="auto" w:sz="4" w:space="0"/>
            </w:tcBorders>
          </w:tcPr>
          <w:p w14:paraId="01FC5E4E">
            <w:pPr>
              <w:spacing w:after="0" w:line="240" w:lineRule="auto"/>
              <w:jc w:val="center"/>
              <w:rPr>
                <w:rFonts w:ascii="Times New Roman" w:hAnsi="Times New Roman"/>
              </w:rPr>
            </w:pPr>
            <w:r>
              <w:rPr>
                <w:rFonts w:ascii="Times New Roman" w:hAnsi="Times New Roman"/>
              </w:rPr>
              <w:t>Eksperimen</w:t>
            </w:r>
          </w:p>
          <w:p w14:paraId="0424CDA6">
            <w:pPr>
              <w:spacing w:after="0" w:line="240" w:lineRule="auto"/>
              <w:jc w:val="center"/>
              <w:rPr>
                <w:rFonts w:ascii="Times New Roman" w:hAnsi="Times New Roman"/>
              </w:rPr>
            </w:pPr>
            <w:r>
              <w:rPr>
                <w:rFonts w:ascii="Times New Roman" w:hAnsi="Times New Roman"/>
              </w:rPr>
              <w:t xml:space="preserve">Kontrol </w:t>
            </w:r>
          </w:p>
        </w:tc>
        <w:tc>
          <w:tcPr>
            <w:tcW w:w="2829" w:type="dxa"/>
            <w:tcBorders>
              <w:top w:val="single" w:color="auto" w:sz="4" w:space="0"/>
              <w:left w:val="single" w:color="auto" w:sz="4" w:space="0"/>
              <w:bottom w:val="single" w:color="auto" w:sz="4" w:space="0"/>
              <w:right w:val="single" w:color="auto" w:sz="4" w:space="0"/>
            </w:tcBorders>
          </w:tcPr>
          <w:p w14:paraId="3ED0A3A2">
            <w:pPr>
              <w:spacing w:after="0" w:line="240" w:lineRule="auto"/>
              <w:jc w:val="center"/>
              <w:rPr>
                <w:rFonts w:ascii="Times New Roman" w:hAnsi="Times New Roman"/>
              </w:rPr>
            </w:pPr>
            <w:r>
              <w:rPr>
                <w:rFonts w:ascii="Times New Roman" w:hAnsi="Times New Roman"/>
              </w:rPr>
              <w:t>3,85</w:t>
            </w:r>
          </w:p>
        </w:tc>
        <w:tc>
          <w:tcPr>
            <w:tcW w:w="2829" w:type="dxa"/>
            <w:tcBorders>
              <w:top w:val="single" w:color="auto" w:sz="4" w:space="0"/>
              <w:left w:val="single" w:color="auto" w:sz="4" w:space="0"/>
              <w:bottom w:val="single" w:color="auto" w:sz="4" w:space="0"/>
              <w:right w:val="single" w:color="auto" w:sz="4" w:space="0"/>
            </w:tcBorders>
          </w:tcPr>
          <w:p w14:paraId="37C05B3E">
            <w:pPr>
              <w:spacing w:after="0" w:line="240" w:lineRule="auto"/>
              <w:jc w:val="center"/>
              <w:rPr>
                <w:rFonts w:ascii="Times New Roman" w:hAnsi="Times New Roman"/>
              </w:rPr>
            </w:pPr>
            <w:r>
              <w:rPr>
                <w:rFonts w:ascii="Times New Roman" w:hAnsi="Times New Roman"/>
              </w:rPr>
              <w:t>2,00</w:t>
            </w:r>
          </w:p>
        </w:tc>
      </w:tr>
    </w:tbl>
    <w:p w14:paraId="27F9D4B2">
      <w:pPr>
        <w:spacing w:before="120" w:after="0" w:line="360" w:lineRule="auto"/>
        <w:ind w:firstLine="567"/>
        <w:jc w:val="both"/>
        <w:rPr>
          <w:rFonts w:ascii="Times New Roman" w:hAnsi="Times New Roman" w:eastAsia="Times New Roman" w:cs="Times New Roman"/>
          <w:sz w:val="24"/>
          <w:szCs w:val="24"/>
        </w:rPr>
      </w:pPr>
      <w:r>
        <w:rPr>
          <w:rFonts w:ascii="Times New Roman" w:hAnsi="Times New Roman" w:cs="Times New Roman"/>
          <w:sz w:val="24"/>
          <w:szCs w:val="24"/>
        </w:rPr>
        <w:t xml:space="preserve">Metode Gasing dikembangkan oleh </w:t>
      </w:r>
      <w:r>
        <w:rPr>
          <w:rStyle w:val="19"/>
          <w:rFonts w:ascii="Times New Roman" w:hAnsi="Times New Roman" w:cs="Times New Roman"/>
          <w:sz w:val="24"/>
          <w:szCs w:val="24"/>
        </w:rPr>
        <w:t>Yohanes Surya</w:t>
      </w:r>
      <w:r>
        <w:rPr>
          <w:rFonts w:ascii="Times New Roman" w:hAnsi="Times New Roman" w:cs="Times New Roman"/>
          <w:sz w:val="24"/>
          <w:szCs w:val="24"/>
        </w:rPr>
        <w:t xml:space="preserve"> sebagai pendekatan pembelajaran matematika yang menekankan pada konsep “gampang, asyik, dan menyenangkan”.  Menurut Lazwardi (2014), </w:t>
      </w:r>
      <w:r>
        <w:rPr>
          <w:rFonts w:ascii="Times New Roman" w:hAnsi="Times New Roman" w:eastAsia="Times New Roman" w:cs="Times New Roman"/>
          <w:sz w:val="24"/>
          <w:szCs w:val="24"/>
        </w:rPr>
        <w:t>Metode Gasing mampu meningkatkan hasil belajar karena:</w:t>
      </w:r>
    </w:p>
    <w:p w14:paraId="19F512EC">
      <w:pPr>
        <w:numPr>
          <w:ilvl w:val="0"/>
          <w:numId w:val="2"/>
        </w:numPr>
        <w:tabs>
          <w:tab w:val="left" w:pos="567"/>
          <w:tab w:val="clear" w:pos="720"/>
        </w:tabs>
        <w:spacing w:after="0" w:line="360" w:lineRule="auto"/>
        <w:ind w:left="567" w:hanging="28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dilakukan secara bertahap dari konkret ke abstrak.</w:t>
      </w:r>
    </w:p>
    <w:p w14:paraId="3A719F9C">
      <w:pPr>
        <w:numPr>
          <w:ilvl w:val="0"/>
          <w:numId w:val="2"/>
        </w:numPr>
        <w:tabs>
          <w:tab w:val="left" w:pos="567"/>
          <w:tab w:val="clear" w:pos="720"/>
        </w:tabs>
        <w:spacing w:after="0" w:line="360" w:lineRule="auto"/>
        <w:ind w:left="567" w:hanging="28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lebih aktif terlibat dalam proses pembelajaran.</w:t>
      </w:r>
    </w:p>
    <w:p w14:paraId="6A76ED72">
      <w:pPr>
        <w:numPr>
          <w:ilvl w:val="0"/>
          <w:numId w:val="2"/>
        </w:numPr>
        <w:tabs>
          <w:tab w:val="left" w:pos="567"/>
          <w:tab w:val="clear" w:pos="720"/>
        </w:tabs>
        <w:spacing w:after="0" w:line="360" w:lineRule="auto"/>
        <w:ind w:left="567" w:hanging="28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Suasana belajar lebih menyenangkan sehingga meningkatkan motivasi.</w:t>
      </w:r>
    </w:p>
    <w:p w14:paraId="5F2C250A">
      <w:pPr>
        <w:numPr>
          <w:ilvl w:val="0"/>
          <w:numId w:val="2"/>
        </w:numPr>
        <w:tabs>
          <w:tab w:val="left" w:pos="567"/>
          <w:tab w:val="clear" w:pos="720"/>
        </w:tabs>
        <w:spacing w:after="0" w:line="360" w:lineRule="auto"/>
        <w:ind w:left="567" w:hanging="28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tidak hanya menghafal rumus, tetapi memahami konsep.</w:t>
      </w:r>
    </w:p>
    <w:p w14:paraId="56DF4E1B">
      <w:pPr>
        <w:spacing w:after="0" w:line="360" w:lineRule="auto"/>
        <w:ind w:firstLine="567"/>
        <w:jc w:val="both"/>
        <w:rPr>
          <w:rFonts w:ascii="Times New Roman" w:hAnsi="Times New Roman" w:eastAsia="Times New Roman"/>
          <w:sz w:val="24"/>
          <w:szCs w:val="24"/>
        </w:rPr>
      </w:pPr>
      <w:r>
        <w:rPr>
          <w:rFonts w:ascii="Times New Roman" w:hAnsi="Times New Roman" w:eastAsia="Times New Roman"/>
          <w:sz w:val="24"/>
          <w:szCs w:val="24"/>
        </w:rPr>
        <w:t>Hasil penelitian ini sejalan dengan berbagai penelitian terdahulu yang menegaskan efektivitas metode Gasing. Penelitian Hamzan (2024) menunjukkan bahwa penggunaan metode Gasing memberikan pengaruh positif terhadap kemampuan numerasi siswa kelas IV di UPT SPF SD Negeri Gaddong II Makassar. Penelitian Arinil &amp; Khaq (2022) juga menunjukkan bahwa metode Gasing mampu meningkatkan pemahaman matematis siswa di MI Nashrul Fajar, karena siswa lebih mudah memahami konsep melalui langkah-langkah sistematis yang dikombinasikan dengan aktivitas belajar yang menyenangkan dan interaktif. Selain itu, penelitian Wad (2025) semakin memperkuat temuan ini dengan menunjukkan adanya peningkatan signifikan pada hasil belajar operasi perkalian di SD Negeri 20 Sire, yang menekankan pentingnya keterlibatan aktif dan pengalaman belajar konkret bagi siswa.</w:t>
      </w:r>
    </w:p>
    <w:p w14:paraId="57F5F894">
      <w:pPr>
        <w:spacing w:after="0" w:line="360" w:lineRule="auto"/>
        <w:ind w:firstLine="567"/>
        <w:jc w:val="both"/>
        <w:rPr>
          <w:rFonts w:ascii="Times New Roman" w:hAnsi="Times New Roman" w:eastAsia="Times New Roman" w:cs="Times New Roman"/>
          <w:sz w:val="24"/>
          <w:szCs w:val="24"/>
        </w:rPr>
      </w:pPr>
      <w:r>
        <w:rPr>
          <w:rFonts w:ascii="Times New Roman" w:hAnsi="Times New Roman" w:eastAsia="Times New Roman"/>
          <w:sz w:val="24"/>
          <w:szCs w:val="24"/>
        </w:rPr>
        <w:t xml:space="preserve">Berdasarkan hasil penelitian ini menunjukkan bahwa hipotesis yang dirumuskan pada Bab II, yaitu adanya pengaruh signifikan metode Gasing terhadap hasil belajar matematika siswa kelas IV SD Negeri 101818 Pancur Batu T.A 2025/2026, dinyatakan diterima. </w:t>
      </w:r>
      <w:r>
        <w:rPr>
          <w:rFonts w:ascii="Times New Roman" w:hAnsi="Times New Roman" w:eastAsia="Times New Roman" w:cs="Times New Roman"/>
          <w:sz w:val="24"/>
          <w:szCs w:val="24"/>
        </w:rPr>
        <w:t xml:space="preserve">Dengan pendekatan yang sederhana dan interaktif, siswa menjadi lebih percaya diri, </w:t>
      </w:r>
      <w:r>
        <w:rPr>
          <w:rFonts w:ascii="Times New Roman" w:hAnsi="Times New Roman" w:eastAsia="Times New Roman"/>
          <w:sz w:val="24"/>
          <w:szCs w:val="24"/>
        </w:rPr>
        <w:t xml:space="preserve">proses berpikir siswa menjadi lebih logis, sistematis, dan terstruktur </w:t>
      </w:r>
      <w:r>
        <w:rPr>
          <w:rFonts w:ascii="Times New Roman" w:hAnsi="Times New Roman" w:eastAsia="Times New Roman" w:cs="Times New Roman"/>
          <w:sz w:val="24"/>
          <w:szCs w:val="24"/>
        </w:rPr>
        <w:t xml:space="preserve">dalam menyelesaikan soal matematika. </w:t>
      </w:r>
      <w:r>
        <w:rPr>
          <w:rFonts w:ascii="Times New Roman" w:hAnsi="Times New Roman" w:cs="Times New Roman"/>
          <w:sz w:val="24"/>
          <w:szCs w:val="24"/>
        </w:rPr>
        <w:t>Hasil penelitian ini sejalan dengan penelitian sebelumnya yang menunjukkan bahwa metode Gasing efektif dalam meningkatkan hasil belajar dan pemahaman konsep matematika siswa sekolah dasar. Dengan karakteristik pembelajaran yang logis, sistematis, dan interaktif, metode Gasing dapat menjadi alternatif pembelajaran yang inovatif untuk meningkatkan kemampuan matematika, khususnya pada materi operasi hitung perkalian.</w:t>
      </w:r>
    </w:p>
    <w:p w14:paraId="5B74DDFC">
      <w:pPr>
        <w:spacing w:after="0" w:line="360" w:lineRule="auto"/>
        <w:ind w:firstLine="360"/>
        <w:jc w:val="both"/>
        <w:rPr>
          <w:rFonts w:ascii="Times New Roman" w:hAnsi="Times New Roman" w:eastAsia="Times New Roman" w:cs="Times New Roman"/>
          <w:sz w:val="24"/>
          <w:szCs w:val="24"/>
        </w:rPr>
      </w:pPr>
    </w:p>
    <w:p w14:paraId="4027D2F6">
      <w:pPr>
        <w:spacing w:after="0" w:line="360" w:lineRule="auto"/>
        <w:jc w:val="both"/>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KESIMPULAN</w:t>
      </w:r>
    </w:p>
    <w:p w14:paraId="44E643AE">
      <w:pPr>
        <w:spacing w:after="0" w:line="360" w:lineRule="auto"/>
        <w:ind w:firstLine="567"/>
        <w:jc w:val="both"/>
        <w:rPr>
          <w:rFonts w:ascii="Times New Roman" w:hAnsi="Times New Roman" w:eastAsia="Times New Roman"/>
          <w:sz w:val="24"/>
          <w:szCs w:val="24"/>
        </w:rPr>
      </w:pPr>
      <w:r>
        <w:rPr>
          <w:rFonts w:ascii="Times New Roman" w:hAnsi="Times New Roman" w:eastAsia="Times New Roman"/>
          <w:sz w:val="24"/>
          <w:szCs w:val="24"/>
        </w:rPr>
        <w:t>Berdasarkan hasil penelitian dan analisis data yang di lakukan mengenai pengaruh metode pembelajaran Gasing terhadap hasil belajar matematika siswa pada kelas lV SD Negeri 101818 Pancur Batu Tahun Ajaran 2025/2026 dapat disimpulkan bahwa:</w:t>
      </w:r>
    </w:p>
    <w:p w14:paraId="193215C3">
      <w:pPr>
        <w:pStyle w:val="18"/>
        <w:numPr>
          <w:ilvl w:val="0"/>
          <w:numId w:val="3"/>
        </w:numPr>
        <w:tabs>
          <w:tab w:val="left" w:pos="567"/>
          <w:tab w:val="clear" w:pos="720"/>
        </w:tabs>
        <w:spacing w:after="0" w:line="360" w:lineRule="auto"/>
        <w:ind w:left="567" w:hanging="283"/>
        <w:jc w:val="both"/>
        <w:rPr>
          <w:rFonts w:ascii="Times New Roman" w:hAnsi="Times New Roman"/>
          <w:sz w:val="24"/>
          <w:szCs w:val="24"/>
        </w:rPr>
      </w:pPr>
      <w:r>
        <w:rPr>
          <w:rFonts w:ascii="Times New Roman" w:hAnsi="Times New Roman"/>
          <w:sz w:val="24"/>
          <w:szCs w:val="24"/>
        </w:rPr>
        <w:t xml:space="preserve">Hasil belajar siswa dengan menggunakan metode pembelajaran konvensional di SD Negeri 101818 Pancur Batu Tahun Ajaran 2025/2026 berada pada kategori sedang  dengan rata-rata 65,48. </w:t>
      </w:r>
    </w:p>
    <w:p w14:paraId="2078A08F">
      <w:pPr>
        <w:pStyle w:val="18"/>
        <w:numPr>
          <w:ilvl w:val="0"/>
          <w:numId w:val="3"/>
        </w:numPr>
        <w:tabs>
          <w:tab w:val="left" w:pos="567"/>
          <w:tab w:val="clear" w:pos="720"/>
        </w:tabs>
        <w:spacing w:after="0" w:line="360" w:lineRule="auto"/>
        <w:ind w:left="567" w:hanging="283"/>
        <w:jc w:val="both"/>
        <w:rPr>
          <w:rFonts w:ascii="Times New Roman" w:hAnsi="Times New Roman"/>
          <w:sz w:val="24"/>
          <w:szCs w:val="24"/>
        </w:rPr>
      </w:pPr>
      <w:r>
        <w:rPr>
          <w:rFonts w:ascii="Times New Roman" w:hAnsi="Times New Roman"/>
          <w:sz w:val="24"/>
          <w:szCs w:val="24"/>
        </w:rPr>
        <w:t xml:space="preserve">Hasil belajar Matematika dengan menggunakan metode Gasing siswa kelas IV SD Negeri 101818 Pancur Batu Tahun Ajaran 2025/2026 berada pada kategori sangat tinggi dengan rata-rata 81,06. </w:t>
      </w:r>
    </w:p>
    <w:p w14:paraId="2A161A99">
      <w:pPr>
        <w:pStyle w:val="18"/>
        <w:numPr>
          <w:ilvl w:val="0"/>
          <w:numId w:val="3"/>
        </w:numPr>
        <w:tabs>
          <w:tab w:val="left" w:pos="567"/>
          <w:tab w:val="clear" w:pos="720"/>
        </w:tabs>
        <w:spacing w:after="0" w:line="360" w:lineRule="auto"/>
        <w:ind w:left="567" w:hanging="283"/>
        <w:jc w:val="both"/>
        <w:rPr>
          <w:rFonts w:ascii="Times New Roman" w:hAnsi="Times New Roman" w:eastAsia="Times New Roman"/>
          <w:sz w:val="24"/>
          <w:szCs w:val="24"/>
        </w:rPr>
      </w:pPr>
      <w:r>
        <w:rPr>
          <w:rFonts w:ascii="Times New Roman" w:hAnsi="Times New Roman"/>
          <w:sz w:val="24"/>
          <w:szCs w:val="24"/>
        </w:rPr>
        <w:t>Adanya pengaruh yang signifikan penggunaan metode Gasing terhadap hasil belajar Matematika siswa kelas IV SD Negeri 101818 Pancur Batu Tahun Ajaran 2025/2026 melalui Uji Hipotesis (Uji t) menghasilkan nilai T</w:t>
      </w:r>
      <w:r>
        <w:rPr>
          <w:rFonts w:ascii="Times New Roman" w:hAnsi="Times New Roman"/>
          <w:sz w:val="24"/>
          <w:szCs w:val="24"/>
          <w:vertAlign w:val="subscript"/>
        </w:rPr>
        <w:t>hitung</w:t>
      </w:r>
      <w:r>
        <w:rPr>
          <w:rFonts w:ascii="Times New Roman" w:hAnsi="Times New Roman"/>
          <w:sz w:val="24"/>
          <w:szCs w:val="24"/>
        </w:rPr>
        <w:t xml:space="preserve"> &gt; T</w:t>
      </w:r>
      <w:r>
        <w:rPr>
          <w:rFonts w:ascii="Times New Roman" w:hAnsi="Times New Roman"/>
          <w:sz w:val="24"/>
          <w:szCs w:val="24"/>
          <w:vertAlign w:val="subscript"/>
        </w:rPr>
        <w:t>tabel</w:t>
      </w:r>
      <w:r>
        <w:rPr>
          <w:rFonts w:ascii="Times New Roman" w:hAnsi="Times New Roman"/>
          <w:sz w:val="24"/>
          <w:szCs w:val="24"/>
        </w:rPr>
        <w:t xml:space="preserve"> atau 3,85 &gt; 2,00</w:t>
      </w:r>
    </w:p>
    <w:p w14:paraId="0347240C">
      <w:pPr>
        <w:spacing w:after="0" w:line="360" w:lineRule="auto"/>
        <w:rPr>
          <w:sz w:val="24"/>
          <w:szCs w:val="24"/>
        </w:rPr>
      </w:pPr>
    </w:p>
    <w:p w14:paraId="74DA26CE">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DAFTAR PUSTAKA </w:t>
      </w:r>
    </w:p>
    <w:p w14:paraId="1ABBA6A0">
      <w:pPr>
        <w:pStyle w:val="11"/>
        <w:spacing w:before="0" w:beforeAutospacing="0" w:after="0" w:afterAutospacing="0"/>
        <w:ind w:left="720" w:hanging="720"/>
        <w:jc w:val="both"/>
        <w:rPr>
          <w:rStyle w:val="10"/>
        </w:rPr>
      </w:pPr>
      <w:r>
        <w:t xml:space="preserve">Abdullah, M., &amp; Sudrajat, A. (2022). </w:t>
      </w:r>
      <w:r>
        <w:rPr>
          <w:rStyle w:val="6"/>
        </w:rPr>
        <w:t>Matematika GASING sebagai Alternatif Inovasi Pembelajaran Matematika di Era Merdeka Belajar.</w:t>
      </w:r>
      <w:r>
        <w:t xml:space="preserve"> Jurnal Pendidikan Matematika. Diakses dari </w:t>
      </w:r>
      <w:r>
        <w:fldChar w:fldCharType="begin"/>
      </w:r>
      <w:r>
        <w:instrText xml:space="preserve"> HYPERLINK "https://jurnal.pendidikanmatematika.id" </w:instrText>
      </w:r>
      <w:r>
        <w:fldChar w:fldCharType="separate"/>
      </w:r>
      <w:r>
        <w:rPr>
          <w:rStyle w:val="10"/>
        </w:rPr>
        <w:t>https://jurnal.pendidikanmatematika.id</w:t>
      </w:r>
      <w:r>
        <w:rPr>
          <w:rStyle w:val="10"/>
        </w:rPr>
        <w:fldChar w:fldCharType="end"/>
      </w:r>
    </w:p>
    <w:p w14:paraId="192EDC75">
      <w:pPr>
        <w:pStyle w:val="11"/>
        <w:spacing w:before="0" w:beforeAutospacing="0" w:after="0" w:afterAutospacing="0" w:line="360" w:lineRule="auto"/>
        <w:ind w:left="720" w:hanging="720"/>
        <w:jc w:val="both"/>
      </w:pPr>
      <w:r>
        <w:t xml:space="preserve">Aqib, Z., &amp; Murtadlo. (2022). </w:t>
      </w:r>
      <w:r>
        <w:rPr>
          <w:rStyle w:val="6"/>
        </w:rPr>
        <w:t>Metode Pembelajaran</w:t>
      </w:r>
      <w:r>
        <w:t>. Bandung: Yrama Widya.</w:t>
      </w:r>
    </w:p>
    <w:p w14:paraId="70E6A251">
      <w:pPr>
        <w:pStyle w:val="11"/>
        <w:spacing w:before="0" w:beforeAutospacing="0" w:after="0" w:afterAutospacing="0"/>
        <w:ind w:left="720" w:hanging="720"/>
        <w:jc w:val="both"/>
      </w:pPr>
      <w:r>
        <w:t xml:space="preserve">Arikunto, S. (2012). </w:t>
      </w:r>
      <w:r>
        <w:rPr>
          <w:rStyle w:val="6"/>
        </w:rPr>
        <w:t>Dasar-dasar Evaluasi Pendidikan</w:t>
      </w:r>
      <w:r>
        <w:t xml:space="preserve"> (Edisi 2). Jakarta: Bumi Aksara.</w:t>
      </w:r>
    </w:p>
    <w:p w14:paraId="132100DD">
      <w:pPr>
        <w:pStyle w:val="11"/>
        <w:spacing w:before="0" w:beforeAutospacing="0" w:after="0" w:afterAutospacing="0"/>
        <w:ind w:left="720" w:hanging="720"/>
        <w:jc w:val="both"/>
      </w:pPr>
      <w:r>
        <w:t xml:space="preserve">Arinil, Khaq. (2022). </w:t>
      </w:r>
      <w:r>
        <w:rPr>
          <w:rStyle w:val="6"/>
        </w:rPr>
        <w:t>Pengaruh Metode GASING terhadap Kemampuan Pemahaman Matematis Siswa Kelas IV MI Nashrul Fajar Meteseh</w:t>
      </w:r>
      <w:r>
        <w:t xml:space="preserve">. Skripsi, Universitas Islam Negeri Walisongo, Semarang. urnal Pendidikan Dasar. Diakses dari </w:t>
      </w:r>
      <w:r>
        <w:fldChar w:fldCharType="begin"/>
      </w:r>
      <w:r>
        <w:instrText xml:space="preserve"> HYPERLINK "https://ejournal.upi.edu" </w:instrText>
      </w:r>
      <w:r>
        <w:fldChar w:fldCharType="separate"/>
      </w:r>
      <w:r>
        <w:rPr>
          <w:rStyle w:val="10"/>
        </w:rPr>
        <w:t>https://ejournal.upi.edu</w:t>
      </w:r>
      <w:r>
        <w:rPr>
          <w:rStyle w:val="10"/>
        </w:rPr>
        <w:fldChar w:fldCharType="end"/>
      </w:r>
      <w:r>
        <w:t>.</w:t>
      </w:r>
    </w:p>
    <w:p w14:paraId="18F2893A">
      <w:pPr>
        <w:spacing w:after="0" w:line="360" w:lineRule="auto"/>
        <w:rPr>
          <w:rFonts w:ascii="Times New Roman" w:hAnsi="Times New Roman" w:eastAsia="Times New Roman"/>
          <w:sz w:val="24"/>
          <w:szCs w:val="24"/>
        </w:rPr>
      </w:pPr>
      <w:r>
        <w:rPr>
          <w:rFonts w:ascii="Times New Roman" w:hAnsi="Times New Roman" w:eastAsia="Times New Roman"/>
          <w:sz w:val="24"/>
          <w:szCs w:val="24"/>
        </w:rPr>
        <w:t xml:space="preserve">Azwar, S. (2020). </w:t>
      </w:r>
      <w:r>
        <w:rPr>
          <w:rFonts w:ascii="Times New Roman" w:hAnsi="Times New Roman" w:eastAsia="Times New Roman"/>
          <w:i/>
          <w:iCs/>
          <w:sz w:val="24"/>
          <w:szCs w:val="24"/>
        </w:rPr>
        <w:t>Reliabilitas dan Validitas.</w:t>
      </w:r>
      <w:r>
        <w:rPr>
          <w:rFonts w:ascii="Times New Roman" w:hAnsi="Times New Roman" w:eastAsia="Times New Roman"/>
          <w:sz w:val="24"/>
          <w:szCs w:val="24"/>
        </w:rPr>
        <w:t xml:space="preserve"> Yogyakarta: Pustaka Pelajar.</w:t>
      </w:r>
    </w:p>
    <w:p w14:paraId="1D671B59">
      <w:pPr>
        <w:pStyle w:val="11"/>
        <w:spacing w:before="0" w:beforeAutospacing="0" w:after="0" w:afterAutospacing="0"/>
        <w:ind w:left="720" w:hanging="720"/>
        <w:jc w:val="both"/>
      </w:pPr>
      <w:r>
        <w:t xml:space="preserve">Creswell, J. W., &amp; Creswell, J. D. (2018). </w:t>
      </w:r>
      <w:r>
        <w:rPr>
          <w:rStyle w:val="6"/>
        </w:rPr>
        <w:t>Research Design: Qualitative, Quantitative, and Mixed Methods Approaches</w:t>
      </w:r>
      <w:r>
        <w:t>. SAGE Publications.</w:t>
      </w:r>
    </w:p>
    <w:p w14:paraId="1BB1E5B7">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Faizi. (2012). </w:t>
      </w:r>
      <w:r>
        <w:rPr>
          <w:rFonts w:ascii="Times New Roman" w:hAnsi="Times New Roman" w:eastAsia="Times New Roman"/>
          <w:i/>
          <w:iCs/>
          <w:sz w:val="24"/>
          <w:szCs w:val="24"/>
        </w:rPr>
        <w:t>Pembelajaran Matematika dengan Metode GASING</w:t>
      </w:r>
      <w:r>
        <w:rPr>
          <w:rFonts w:ascii="Times New Roman" w:hAnsi="Times New Roman" w:eastAsia="Times New Roman"/>
          <w:sz w:val="24"/>
          <w:szCs w:val="24"/>
        </w:rPr>
        <w:t>. Jakarta: Gramedia.</w:t>
      </w:r>
    </w:p>
    <w:p w14:paraId="4D3F5573">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Ginting. (2022). </w:t>
      </w:r>
      <w:r>
        <w:rPr>
          <w:rFonts w:ascii="Times New Roman" w:hAnsi="Times New Roman" w:eastAsia="Times New Roman"/>
          <w:i/>
          <w:iCs/>
          <w:sz w:val="24"/>
          <w:szCs w:val="24"/>
        </w:rPr>
        <w:t>Metode Pembelajaran sebagai Pendekatan Pengajaran</w:t>
      </w:r>
      <w:r>
        <w:rPr>
          <w:rFonts w:ascii="Times New Roman" w:hAnsi="Times New Roman" w:eastAsia="Times New Roman"/>
          <w:sz w:val="24"/>
          <w:szCs w:val="24"/>
        </w:rPr>
        <w:t>. Medan: Perdana Publishing.</w:t>
      </w:r>
    </w:p>
    <w:p w14:paraId="4C7CAEDD">
      <w:pPr>
        <w:pStyle w:val="11"/>
        <w:spacing w:before="0" w:beforeAutospacing="0" w:after="0" w:afterAutospacing="0"/>
        <w:ind w:left="720" w:hanging="720"/>
        <w:jc w:val="both"/>
        <w:rPr>
          <w:rStyle w:val="12"/>
          <w:b w:val="0"/>
        </w:rPr>
      </w:pPr>
      <w:r>
        <w:t xml:space="preserve">Hamzan, W. (2024). </w:t>
      </w:r>
      <w:r>
        <w:rPr>
          <w:rStyle w:val="6"/>
        </w:rPr>
        <w:t>Pengaruh Metode Pembelajaran Matematika GASING terhadap Kemampuan Mumerasi Siswa Kelas IV UPT SPF SD Negeri Gaddong II, Kota Makassar</w:t>
      </w:r>
      <w:r>
        <w:t xml:space="preserve">. </w:t>
      </w:r>
      <w:r>
        <w:rPr>
          <w:rStyle w:val="12"/>
          <w:b w:val="0"/>
        </w:rPr>
        <w:t>Metafora: Jurnal Ilmu Pengetahuan dan Pendidikan.</w:t>
      </w:r>
    </w:p>
    <w:p w14:paraId="03F01CD7">
      <w:pPr>
        <w:spacing w:after="0" w:line="36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Heruman. (2021). </w:t>
      </w:r>
      <w:r>
        <w:rPr>
          <w:rFonts w:ascii="Times New Roman" w:hAnsi="Times New Roman" w:eastAsia="Times New Roman"/>
          <w:i/>
          <w:iCs/>
          <w:sz w:val="24"/>
          <w:szCs w:val="24"/>
        </w:rPr>
        <w:t>Pembelajaran Matematika SD</w:t>
      </w:r>
      <w:r>
        <w:rPr>
          <w:rFonts w:ascii="Times New Roman" w:hAnsi="Times New Roman" w:eastAsia="Times New Roman"/>
          <w:sz w:val="24"/>
          <w:szCs w:val="24"/>
        </w:rPr>
        <w:t>. Bandung: Remaja Rosdakarya.</w:t>
      </w:r>
    </w:p>
    <w:p w14:paraId="24EE7582">
      <w:pPr>
        <w:spacing w:after="0" w:line="240" w:lineRule="auto"/>
        <w:ind w:left="720" w:hanging="720"/>
        <w:rPr>
          <w:rFonts w:ascii="Times New Roman" w:hAnsi="Times New Roman" w:eastAsia="Times New Roman"/>
          <w:sz w:val="24"/>
          <w:szCs w:val="24"/>
        </w:rPr>
      </w:pPr>
      <w:r>
        <w:rPr>
          <w:rFonts w:ascii="Times New Roman" w:hAnsi="Times New Roman" w:eastAsia="Times New Roman"/>
          <w:sz w:val="24"/>
          <w:szCs w:val="24"/>
        </w:rPr>
        <w:t xml:space="preserve">Hidayat, R., &amp; Susanto, R. (2023). </w:t>
      </w:r>
      <w:r>
        <w:rPr>
          <w:rFonts w:ascii="Times New Roman" w:hAnsi="Times New Roman" w:eastAsia="Times New Roman"/>
          <w:i/>
          <w:iCs/>
          <w:sz w:val="24"/>
          <w:szCs w:val="24"/>
        </w:rPr>
        <w:t>Statistika Pendidikan dan Penelitian.</w:t>
      </w:r>
      <w:r>
        <w:rPr>
          <w:rFonts w:ascii="Times New Roman" w:hAnsi="Times New Roman" w:eastAsia="Times New Roman"/>
          <w:sz w:val="24"/>
          <w:szCs w:val="24"/>
        </w:rPr>
        <w:t xml:space="preserve"> Jakarta: Rajawali Pers.</w:t>
      </w:r>
    </w:p>
    <w:p w14:paraId="417615CE">
      <w:pPr>
        <w:spacing w:after="0" w:line="36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Jihad, A., &amp; Haris, A. (2013). </w:t>
      </w:r>
      <w:r>
        <w:rPr>
          <w:rFonts w:ascii="Times New Roman" w:hAnsi="Times New Roman" w:eastAsia="Times New Roman"/>
          <w:i/>
          <w:iCs/>
          <w:sz w:val="24"/>
          <w:szCs w:val="24"/>
        </w:rPr>
        <w:t>Evaluasi Pembelajaran</w:t>
      </w:r>
      <w:r>
        <w:rPr>
          <w:rFonts w:ascii="Times New Roman" w:hAnsi="Times New Roman" w:eastAsia="Times New Roman"/>
          <w:sz w:val="24"/>
          <w:szCs w:val="24"/>
        </w:rPr>
        <w:t>. Yogyakarta: Multi Pressindo.</w:t>
      </w:r>
    </w:p>
    <w:p w14:paraId="3D567CF0">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Johnston, &amp; Hammond. (2021). </w:t>
      </w:r>
      <w:r>
        <w:rPr>
          <w:rFonts w:ascii="Times New Roman" w:hAnsi="Times New Roman" w:eastAsia="Times New Roman"/>
          <w:i/>
          <w:iCs/>
          <w:sz w:val="24"/>
          <w:szCs w:val="24"/>
        </w:rPr>
        <w:t>Belajar sebagai Aktivitas Membangun Pengetahuan</w:t>
      </w:r>
      <w:r>
        <w:rPr>
          <w:rFonts w:ascii="Times New Roman" w:hAnsi="Times New Roman" w:eastAsia="Times New Roman"/>
          <w:sz w:val="24"/>
          <w:szCs w:val="24"/>
        </w:rPr>
        <w:t>. London: Routledge.</w:t>
      </w:r>
    </w:p>
    <w:p w14:paraId="5862EF62">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Khaq, R. (2022). </w:t>
      </w:r>
      <w:r>
        <w:rPr>
          <w:rFonts w:ascii="Times New Roman" w:hAnsi="Times New Roman" w:eastAsia="Times New Roman"/>
          <w:i/>
          <w:iCs/>
          <w:sz w:val="24"/>
          <w:szCs w:val="24"/>
        </w:rPr>
        <w:t>Pengaruh Metode Matematika GASING terhadap Hasil Belajar</w:t>
      </w:r>
      <w:r>
        <w:rPr>
          <w:rFonts w:ascii="Times New Roman" w:hAnsi="Times New Roman" w:eastAsia="Times New Roman"/>
          <w:sz w:val="24"/>
          <w:szCs w:val="24"/>
        </w:rPr>
        <w:t xml:space="preserve">. Jurnal Pendidikan Matematika. Diakses dari </w:t>
      </w:r>
      <w:r>
        <w:fldChar w:fldCharType="begin"/>
      </w:r>
      <w:r>
        <w:instrText xml:space="preserve"> HYPERLINK "https://ejournal.unnes.ac.id" </w:instrText>
      </w:r>
      <w:r>
        <w:fldChar w:fldCharType="separate"/>
      </w:r>
      <w:r>
        <w:rPr>
          <w:rStyle w:val="10"/>
          <w:rFonts w:ascii="Times New Roman" w:hAnsi="Times New Roman" w:eastAsia="Times New Roman"/>
          <w:sz w:val="24"/>
          <w:szCs w:val="24"/>
        </w:rPr>
        <w:t>https://ejournal.unnes.ac.id</w:t>
      </w:r>
      <w:r>
        <w:rPr>
          <w:rStyle w:val="10"/>
          <w:rFonts w:ascii="Times New Roman" w:hAnsi="Times New Roman" w:eastAsia="Times New Roman"/>
          <w:sz w:val="24"/>
          <w:szCs w:val="24"/>
        </w:rPr>
        <w:fldChar w:fldCharType="end"/>
      </w:r>
    </w:p>
    <w:p w14:paraId="5B6BF1BD">
      <w:pPr>
        <w:pStyle w:val="11"/>
        <w:spacing w:before="0" w:beforeAutospacing="0" w:after="0" w:afterAutospacing="0"/>
        <w:ind w:left="720" w:hanging="720"/>
        <w:jc w:val="both"/>
      </w:pPr>
      <w:r>
        <w:t xml:space="preserve">Saragih, S., &amp; Rahmita, T. (2020). </w:t>
      </w:r>
      <w:r>
        <w:rPr>
          <w:rStyle w:val="6"/>
        </w:rPr>
        <w:t>Penerapan Metode GASING untuk Meningkatkan Kemampuan Pemahaman Konsep Matematika.</w:t>
      </w:r>
      <w:r>
        <w:t xml:space="preserve"> Jurnal Cendekia. Diakses dari </w:t>
      </w:r>
      <w:r>
        <w:fldChar w:fldCharType="begin"/>
      </w:r>
      <w:r>
        <w:instrText xml:space="preserve"> HYPERLINK "https://jurnal.stkipsiliwangi.ac.id" </w:instrText>
      </w:r>
      <w:r>
        <w:fldChar w:fldCharType="separate"/>
      </w:r>
      <w:r>
        <w:rPr>
          <w:rStyle w:val="10"/>
        </w:rPr>
        <w:t>https://jurnal.stkipsiliwangi.ac.id</w:t>
      </w:r>
      <w:r>
        <w:rPr>
          <w:rStyle w:val="10"/>
        </w:rPr>
        <w:fldChar w:fldCharType="end"/>
      </w:r>
      <w:r>
        <w:t>.</w:t>
      </w:r>
    </w:p>
    <w:p w14:paraId="1324948A">
      <w:pPr>
        <w:pStyle w:val="11"/>
        <w:spacing w:before="0" w:beforeAutospacing="0" w:after="0" w:afterAutospacing="0"/>
        <w:ind w:left="720" w:hanging="720"/>
        <w:jc w:val="both"/>
      </w:pPr>
      <w:r>
        <w:t xml:space="preserve">Siregar, R. A. (2021). </w:t>
      </w:r>
      <w:r>
        <w:rPr>
          <w:rStyle w:val="6"/>
        </w:rPr>
        <w:t>Efektivitas Metode GASING dalam Pembelajaran Matematika di Sekolah Dasar.</w:t>
      </w:r>
      <w:r>
        <w:t xml:space="preserve"> Jurnal Pendidikan Guru. Diakses dari </w:t>
      </w:r>
      <w:r>
        <w:fldChar w:fldCharType="begin"/>
      </w:r>
      <w:r>
        <w:instrText xml:space="preserve"> HYPERLINK "https://ejournal.uhn.ac.id" </w:instrText>
      </w:r>
      <w:r>
        <w:fldChar w:fldCharType="separate"/>
      </w:r>
      <w:r>
        <w:rPr>
          <w:rStyle w:val="10"/>
        </w:rPr>
        <w:t>https://ejournal.uhn.ac.id</w:t>
      </w:r>
      <w:r>
        <w:rPr>
          <w:rStyle w:val="10"/>
        </w:rPr>
        <w:fldChar w:fldCharType="end"/>
      </w:r>
      <w:r>
        <w:t>.</w:t>
      </w:r>
    </w:p>
    <w:p w14:paraId="3F9C2EC1">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Sugiyono. (2013). </w:t>
      </w:r>
      <w:r>
        <w:rPr>
          <w:rFonts w:ascii="Times New Roman" w:hAnsi="Times New Roman" w:eastAsia="Times New Roman"/>
          <w:i/>
          <w:iCs/>
          <w:sz w:val="24"/>
          <w:szCs w:val="24"/>
        </w:rPr>
        <w:t>Metode Penelitian Kuantitatif, Kualitatif, dan R&amp;D</w:t>
      </w:r>
      <w:r>
        <w:rPr>
          <w:rFonts w:ascii="Times New Roman" w:hAnsi="Times New Roman" w:eastAsia="Times New Roman"/>
          <w:sz w:val="24"/>
          <w:szCs w:val="24"/>
        </w:rPr>
        <w:t>. Bandung: Alfabeta.</w:t>
      </w:r>
    </w:p>
    <w:p w14:paraId="4D31D6C4">
      <w:pPr>
        <w:spacing w:after="0" w:line="36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Sugiyono. (2014). </w:t>
      </w:r>
      <w:r>
        <w:rPr>
          <w:rFonts w:ascii="Times New Roman" w:hAnsi="Times New Roman" w:eastAsia="Times New Roman"/>
          <w:i/>
          <w:iCs/>
          <w:sz w:val="24"/>
          <w:szCs w:val="24"/>
        </w:rPr>
        <w:t>Statistika untuk Penelitian</w:t>
      </w:r>
      <w:r>
        <w:rPr>
          <w:rFonts w:ascii="Times New Roman" w:hAnsi="Times New Roman" w:eastAsia="Times New Roman"/>
          <w:sz w:val="24"/>
          <w:szCs w:val="24"/>
        </w:rPr>
        <w:t xml:space="preserve"> (Cet. ke-26). Bandung: Alfabeta.</w:t>
      </w:r>
    </w:p>
    <w:p w14:paraId="502A72E8">
      <w:pPr>
        <w:spacing w:after="0" w:line="240" w:lineRule="auto"/>
        <w:ind w:left="720" w:hanging="720"/>
        <w:jc w:val="both"/>
        <w:rPr>
          <w:rFonts w:ascii="Times New Roman" w:hAnsi="Times New Roman" w:eastAsia="Times New Roman"/>
          <w:sz w:val="24"/>
          <w:szCs w:val="24"/>
        </w:rPr>
      </w:pPr>
      <w:r>
        <w:rPr>
          <w:rFonts w:ascii="Times New Roman" w:hAnsi="Times New Roman" w:eastAsia="Times New Roman"/>
          <w:sz w:val="24"/>
          <w:szCs w:val="24"/>
        </w:rPr>
        <w:t xml:space="preserve">Sugiyono. (2015). </w:t>
      </w:r>
      <w:r>
        <w:rPr>
          <w:rFonts w:ascii="Times New Roman" w:hAnsi="Times New Roman" w:eastAsia="Times New Roman"/>
          <w:i/>
          <w:iCs/>
          <w:sz w:val="24"/>
          <w:szCs w:val="24"/>
        </w:rPr>
        <w:t>Metode Penelitian Kombinasi (Mixed Methods)</w:t>
      </w:r>
      <w:r>
        <w:rPr>
          <w:rFonts w:ascii="Times New Roman" w:hAnsi="Times New Roman" w:eastAsia="Times New Roman"/>
          <w:sz w:val="24"/>
          <w:szCs w:val="24"/>
        </w:rPr>
        <w:t>. Bandung: Alfabeta.</w:t>
      </w:r>
    </w:p>
    <w:p w14:paraId="4E7F6687">
      <w:pPr>
        <w:pStyle w:val="11"/>
        <w:spacing w:before="0" w:beforeAutospacing="0" w:after="0" w:afterAutospacing="0"/>
        <w:ind w:left="720" w:hanging="720"/>
        <w:jc w:val="both"/>
        <w:rPr>
          <w:rStyle w:val="12"/>
          <w:b w:val="0"/>
        </w:rPr>
      </w:pPr>
      <w:r>
        <w:t xml:space="preserve">Sugiyono. (2021). </w:t>
      </w:r>
      <w:r>
        <w:rPr>
          <w:rStyle w:val="6"/>
        </w:rPr>
        <w:t>Metode Penelitian Pendidikan: Pendekatan Kuantitatif, Kualitatif, Kombinasi, R&amp;D, dan Penelitian Tindakan Kelas</w:t>
      </w:r>
      <w:r>
        <w:t xml:space="preserve"> (Edisi ke-3). </w:t>
      </w:r>
      <w:r>
        <w:rPr>
          <w:rStyle w:val="12"/>
          <w:b w:val="0"/>
        </w:rPr>
        <w:t>Bandung: Alfabeta.</w:t>
      </w:r>
    </w:p>
    <w:p w14:paraId="70536FBA">
      <w:pPr>
        <w:spacing w:after="0" w:line="240" w:lineRule="auto"/>
        <w:ind w:left="720" w:hanging="720"/>
        <w:rPr>
          <w:rFonts w:ascii="Times New Roman" w:hAnsi="Times New Roman" w:eastAsia="Times New Roman"/>
          <w:sz w:val="24"/>
          <w:szCs w:val="24"/>
        </w:rPr>
      </w:pPr>
      <w:r>
        <w:rPr>
          <w:rFonts w:ascii="Times New Roman" w:hAnsi="Times New Roman" w:eastAsia="Times New Roman"/>
          <w:sz w:val="24"/>
          <w:szCs w:val="24"/>
        </w:rPr>
        <w:t xml:space="preserve">Sugiyono. (2021). </w:t>
      </w:r>
      <w:r>
        <w:rPr>
          <w:rFonts w:ascii="Times New Roman" w:hAnsi="Times New Roman" w:eastAsia="Times New Roman"/>
          <w:i/>
          <w:iCs/>
          <w:sz w:val="24"/>
          <w:szCs w:val="24"/>
        </w:rPr>
        <w:t>Metode Penelitian Pendidikan: Pendekatan Kuantitatif, Kualitatif, dan R&amp;D (Edisi Ke-3).</w:t>
      </w:r>
      <w:r>
        <w:rPr>
          <w:rFonts w:ascii="Times New Roman" w:hAnsi="Times New Roman" w:eastAsia="Times New Roman"/>
          <w:sz w:val="24"/>
          <w:szCs w:val="24"/>
        </w:rPr>
        <w:t xml:space="preserve"> Bandung: Alfabeta.</w:t>
      </w:r>
    </w:p>
    <w:p w14:paraId="7FF0958E">
      <w:pPr>
        <w:pStyle w:val="11"/>
        <w:spacing w:before="0" w:beforeAutospacing="0" w:after="0" w:afterAutospacing="0"/>
        <w:ind w:left="720" w:hanging="720"/>
        <w:jc w:val="both"/>
        <w:rPr>
          <w:rStyle w:val="10"/>
        </w:rPr>
      </w:pPr>
      <w:r>
        <w:t xml:space="preserve">Surya, Yohanes. (2010). </w:t>
      </w:r>
      <w:r>
        <w:rPr>
          <w:rStyle w:val="6"/>
        </w:rPr>
        <w:t>Buku Pedoman Teknis Matematika GASING.</w:t>
      </w:r>
      <w:r>
        <w:t xml:space="preserve"> Humbang Hasundutan: Dispen Humbang Hasundutan. Diakses dari </w:t>
      </w:r>
      <w:r>
        <w:fldChar w:fldCharType="begin"/>
      </w:r>
      <w:r>
        <w:instrText xml:space="preserve"> HYPERLINK "https://dispen.humbanghasundutankab.go.id/user_image/files/BUKU%20PEDOMAN%20TEKNIS%20GASING.pdf" \t "_new" </w:instrText>
      </w:r>
      <w:r>
        <w:fldChar w:fldCharType="separate"/>
      </w:r>
      <w:r>
        <w:rPr>
          <w:rStyle w:val="10"/>
        </w:rPr>
        <w:t>https://dispen.humbanghasundutankab.go.id/user_image/files/BUKU%20PEDOMAN%20TEKNIS%20GASING.pdf</w:t>
      </w:r>
      <w:r>
        <w:rPr>
          <w:rStyle w:val="10"/>
        </w:rPr>
        <w:fldChar w:fldCharType="end"/>
      </w:r>
    </w:p>
    <w:p w14:paraId="78421CBD">
      <w:pPr>
        <w:pStyle w:val="11"/>
        <w:spacing w:before="0" w:beforeAutospacing="0" w:after="0" w:afterAutospacing="0" w:line="360" w:lineRule="auto"/>
        <w:ind w:left="720" w:hanging="720"/>
        <w:jc w:val="both"/>
      </w:pPr>
      <w:r>
        <w:t xml:space="preserve">TIFAPOS. (n.d.). </w:t>
      </w:r>
      <w:r>
        <w:rPr>
          <w:rStyle w:val="6"/>
        </w:rPr>
        <w:t>Artikel Pendidikan</w:t>
      </w:r>
      <w:r>
        <w:t xml:space="preserve">. IDE Journal. Diakses dari </w:t>
      </w:r>
      <w:r>
        <w:fldChar w:fldCharType="begin"/>
      </w:r>
      <w:r>
        <w:instrText xml:space="preserve"> HYPERLINK "https://idejournal.org" </w:instrText>
      </w:r>
      <w:r>
        <w:fldChar w:fldCharType="separate"/>
      </w:r>
      <w:r>
        <w:rPr>
          <w:rStyle w:val="10"/>
        </w:rPr>
        <w:t>https://idejournal.org</w:t>
      </w:r>
      <w:r>
        <w:rPr>
          <w:rStyle w:val="10"/>
        </w:rPr>
        <w:fldChar w:fldCharType="end"/>
      </w:r>
    </w:p>
    <w:p w14:paraId="183E570C">
      <w:pPr>
        <w:widowControl w:val="0"/>
        <w:autoSpaceDE w:val="0"/>
        <w:autoSpaceDN w:val="0"/>
        <w:adjustRightInd w:val="0"/>
        <w:spacing w:after="0" w:line="240" w:lineRule="auto"/>
        <w:ind w:left="720" w:hanging="720"/>
        <w:jc w:val="both"/>
        <w:rPr>
          <w:rFonts w:ascii="Times New Roman" w:hAnsi="Times New Roman"/>
          <w:sz w:val="24"/>
          <w:szCs w:val="24"/>
        </w:rPr>
      </w:pPr>
      <w:r>
        <w:rPr>
          <w:rFonts w:ascii="Times New Roman" w:hAnsi="Times New Roman"/>
          <w:sz w:val="24"/>
          <w:szCs w:val="24"/>
        </w:rPr>
        <w:t xml:space="preserve">Wad, Yokbeth A. (2025). </w:t>
      </w:r>
      <w:r>
        <w:rPr>
          <w:rStyle w:val="6"/>
          <w:rFonts w:ascii="Times New Roman" w:hAnsi="Times New Roman"/>
          <w:sz w:val="24"/>
          <w:szCs w:val="24"/>
        </w:rPr>
        <w:t>Pengaruh Metode Gasing Terhadap Hasil Belajar Matematika Materi Operasi Perkalian Pada Siswa Kelas IV SD Negeri 20 Sire.</w:t>
      </w:r>
      <w:r>
        <w:rPr>
          <w:rFonts w:ascii="Times New Roman" w:hAnsi="Times New Roman"/>
          <w:sz w:val="24"/>
          <w:szCs w:val="24"/>
        </w:rPr>
        <w:t xml:space="preserve"> Jurnal Pendidikan Dasar. Diakses dari https://ejournal.unima.ac.id</w:t>
      </w:r>
    </w:p>
    <w:p w14:paraId="76684633">
      <w:pPr>
        <w:widowControl w:val="0"/>
        <w:autoSpaceDE w:val="0"/>
        <w:autoSpaceDN w:val="0"/>
        <w:adjustRightInd w:val="0"/>
        <w:spacing w:after="0" w:line="240" w:lineRule="auto"/>
        <w:ind w:left="720" w:hanging="720"/>
        <w:jc w:val="both"/>
        <w:rPr>
          <w:rFonts w:ascii="Times New Roman" w:hAnsi="Times New Roman"/>
          <w:sz w:val="24"/>
          <w:szCs w:val="24"/>
        </w:rPr>
      </w:pPr>
    </w:p>
    <w:p w14:paraId="73A1FD9B">
      <w:pPr>
        <w:spacing w:after="0" w:line="360" w:lineRule="auto"/>
        <w:rPr>
          <w:rFonts w:ascii="Times New Roman" w:hAnsi="Times New Roman" w:cs="Times New Roman"/>
          <w:sz w:val="24"/>
          <w:szCs w:val="24"/>
        </w:rPr>
      </w:pPr>
    </w:p>
    <w:sectPr>
      <w:headerReference r:id="rId5" w:type="default"/>
      <w:footerReference r:id="rId6" w:type="default"/>
      <w:pgSz w:w="12240" w:h="15840"/>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18289">
    <w:pPr>
      <w:pStyle w:val="7"/>
      <w:jc w:val="center"/>
    </w:pPr>
  </w:p>
  <w:p w14:paraId="34E0F66E">
    <w:pPr>
      <w:pStyle w:val="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5581650</wp:posOffset>
          </wp:positionH>
          <wp:positionV relativeFrom="page">
            <wp:posOffset>447040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4696859B">
    <w:pPr>
      <w:pStyle w:val="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4047D"/>
    <w:multiLevelType w:val="multilevel"/>
    <w:tmpl w:val="14A404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E426ED8"/>
    <w:multiLevelType w:val="multilevel"/>
    <w:tmpl w:val="1E426ED8"/>
    <w:lvl w:ilvl="0" w:tentative="0">
      <w:start w:val="1"/>
      <w:numFmt w:val="decimal"/>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EF15639"/>
    <w:multiLevelType w:val="multilevel"/>
    <w:tmpl w:val="3EF15639"/>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076"/>
    <w:rsid w:val="000A2634"/>
    <w:rsid w:val="000C6057"/>
    <w:rsid w:val="000F3846"/>
    <w:rsid w:val="00143C27"/>
    <w:rsid w:val="001A5581"/>
    <w:rsid w:val="00227E9C"/>
    <w:rsid w:val="003F1105"/>
    <w:rsid w:val="00446076"/>
    <w:rsid w:val="004E1B69"/>
    <w:rsid w:val="005840B2"/>
    <w:rsid w:val="006029C2"/>
    <w:rsid w:val="00607AEF"/>
    <w:rsid w:val="00640BB1"/>
    <w:rsid w:val="00743C7D"/>
    <w:rsid w:val="0075090B"/>
    <w:rsid w:val="008450D9"/>
    <w:rsid w:val="00861F10"/>
    <w:rsid w:val="008C7695"/>
    <w:rsid w:val="00907B4F"/>
    <w:rsid w:val="00907E81"/>
    <w:rsid w:val="00922C95"/>
    <w:rsid w:val="0093308D"/>
    <w:rsid w:val="009839F3"/>
    <w:rsid w:val="00A92E6B"/>
    <w:rsid w:val="00B56221"/>
    <w:rsid w:val="00D33B64"/>
    <w:rsid w:val="00E21E76"/>
    <w:rsid w:val="00EB28BE"/>
    <w:rsid w:val="00F80B72"/>
    <w:rsid w:val="00FB667C"/>
    <w:rsid w:val="50602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link w:val="13"/>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link w:val="14"/>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paragraph" w:styleId="7">
    <w:name w:val="footer"/>
    <w:basedOn w:val="1"/>
    <w:link w:val="16"/>
    <w:unhideWhenUsed/>
    <w:qFormat/>
    <w:uiPriority w:val="99"/>
    <w:pPr>
      <w:tabs>
        <w:tab w:val="center" w:pos="4680"/>
        <w:tab w:val="right" w:pos="9360"/>
      </w:tabs>
      <w:spacing w:after="0" w:line="240" w:lineRule="auto"/>
    </w:pPr>
  </w:style>
  <w:style w:type="paragraph" w:styleId="8">
    <w:name w:val="header"/>
    <w:basedOn w:val="1"/>
    <w:link w:val="15"/>
    <w:unhideWhenUsed/>
    <w:qFormat/>
    <w:uiPriority w:val="99"/>
    <w:pPr>
      <w:tabs>
        <w:tab w:val="center" w:pos="4680"/>
        <w:tab w:val="right" w:pos="9360"/>
      </w:tabs>
      <w:spacing w:after="0" w:line="240" w:lineRule="auto"/>
    </w:pPr>
  </w:style>
  <w:style w:type="paragraph" w:styleId="9">
    <w:name w:val="HTML Preformatted"/>
    <w:basedOn w:val="1"/>
    <w:link w:val="1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2">
    <w:name w:val="Strong"/>
    <w:basedOn w:val="4"/>
    <w:qFormat/>
    <w:uiPriority w:val="22"/>
    <w:rPr>
      <w:b/>
      <w:bCs/>
    </w:rPr>
  </w:style>
  <w:style w:type="character" w:customStyle="1" w:styleId="13">
    <w:name w:val="Heading 1 Char"/>
    <w:basedOn w:val="4"/>
    <w:link w:val="2"/>
    <w:uiPriority w:val="9"/>
    <w:rPr>
      <w:rFonts w:ascii="Times New Roman" w:hAnsi="Times New Roman" w:eastAsia="Times New Roman" w:cs="Times New Roman"/>
      <w:b/>
      <w:bCs/>
      <w:kern w:val="36"/>
      <w:sz w:val="48"/>
      <w:szCs w:val="48"/>
    </w:rPr>
  </w:style>
  <w:style w:type="character" w:customStyle="1" w:styleId="14">
    <w:name w:val="Heading 2 Char"/>
    <w:basedOn w:val="4"/>
    <w:link w:val="3"/>
    <w:qFormat/>
    <w:uiPriority w:val="9"/>
    <w:rPr>
      <w:rFonts w:ascii="Times New Roman" w:hAnsi="Times New Roman" w:eastAsia="Times New Roman" w:cs="Times New Roman"/>
      <w:b/>
      <w:bCs/>
      <w:sz w:val="36"/>
      <w:szCs w:val="36"/>
    </w:rPr>
  </w:style>
  <w:style w:type="character" w:customStyle="1" w:styleId="15">
    <w:name w:val="Header Char"/>
    <w:basedOn w:val="4"/>
    <w:link w:val="8"/>
    <w:qFormat/>
    <w:uiPriority w:val="99"/>
  </w:style>
  <w:style w:type="character" w:customStyle="1" w:styleId="16">
    <w:name w:val="Footer Char"/>
    <w:basedOn w:val="4"/>
    <w:link w:val="7"/>
    <w:qFormat/>
    <w:uiPriority w:val="99"/>
  </w:style>
  <w:style w:type="character" w:customStyle="1" w:styleId="17">
    <w:name w:val="HTML Preformatted Char"/>
    <w:basedOn w:val="4"/>
    <w:link w:val="9"/>
    <w:semiHidden/>
    <w:qFormat/>
    <w:uiPriority w:val="99"/>
    <w:rPr>
      <w:rFonts w:ascii="Courier New" w:hAnsi="Courier New" w:eastAsia="Times New Roman" w:cs="Courier New"/>
      <w:sz w:val="20"/>
      <w:szCs w:val="20"/>
    </w:rPr>
  </w:style>
  <w:style w:type="paragraph" w:styleId="18">
    <w:name w:val="List Paragraph"/>
    <w:basedOn w:val="1"/>
    <w:qFormat/>
    <w:uiPriority w:val="34"/>
    <w:pPr>
      <w:ind w:left="720"/>
      <w:contextualSpacing/>
    </w:pPr>
    <w:rPr>
      <w:rFonts w:ascii="Calibri" w:hAnsi="Calibri" w:eastAsia="SimSun" w:cs="Times New Roman"/>
      <w:lang w:eastAsia="zh-CN"/>
    </w:rPr>
  </w:style>
  <w:style w:type="character" w:customStyle="1" w:styleId="19">
    <w:name w:val="whitespace-normal"/>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7.bin"/><Relationship Id="rId17" Type="http://schemas.openxmlformats.org/officeDocument/2006/relationships/image" Target="media/image5.wmf"/><Relationship Id="rId16" Type="http://schemas.openxmlformats.org/officeDocument/2006/relationships/oleObject" Target="embeddings/oleObject6.bin"/><Relationship Id="rId15" Type="http://schemas.openxmlformats.org/officeDocument/2006/relationships/image" Target="media/image4.wmf"/><Relationship Id="rId14" Type="http://schemas.openxmlformats.org/officeDocument/2006/relationships/oleObject" Target="embeddings/oleObject5.bin"/><Relationship Id="rId13" Type="http://schemas.openxmlformats.org/officeDocument/2006/relationships/image" Target="media/image3.wmf"/><Relationship Id="rId12" Type="http://schemas.openxmlformats.org/officeDocument/2006/relationships/oleObject" Target="embeddings/oleObject4.bin"/><Relationship Id="rId11" Type="http://schemas.openxmlformats.org/officeDocument/2006/relationships/oleObject" Target="embeddings/oleObject3.bin"/><Relationship Id="rId10" Type="http://schemas.openxmlformats.org/officeDocument/2006/relationships/oleObject" Target="embeddings/oleObject2.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7454D-2E5E-4869-B46E-E4025E9D1DD9}">
  <ds:schemaRefs/>
</ds:datastoreItem>
</file>

<file path=docProps/app.xml><?xml version="1.0" encoding="utf-8"?>
<Properties xmlns="http://schemas.openxmlformats.org/officeDocument/2006/extended-properties" xmlns:vt="http://schemas.openxmlformats.org/officeDocument/2006/docPropsVTypes">
  <Template>Normal</Template>
  <Pages>9</Pages>
  <Words>2315</Words>
  <Characters>15107</Characters>
  <Lines>128</Lines>
  <Paragraphs>36</Paragraphs>
  <TotalTime>4</TotalTime>
  <ScaleCrop>false</ScaleCrop>
  <LinksUpToDate>false</LinksUpToDate>
  <CharactersWithSpaces>17354</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2026-02-12T14:06:00Z</dcterms:created>
  <dc:creator>ACER</dc:creator>
  <cp:lastModifiedBy>Vina OMPUSUNGGU</cp:lastModifiedBy>
  <cp:lastPrinted>2026-02-16T15:11:00Z</cp:lastPrinted>
  <dcterms:modified xsi:type="dcterms:W3CDTF">2026-04-15T08:08:15Z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31F17AAED5F24F35BEA8C406C60F35A2_12</vt:lpwstr>
  </property>
</Properties>
</file>