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414CB">
      <w:pPr>
        <w:ind w:left="10" w:right="9"/>
        <w:jc w:val="center"/>
        <w:rPr>
          <w:b/>
          <w:sz w:val="28"/>
        </w:rPr>
      </w:pPr>
      <w:r>
        <w:rPr>
          <w:b/>
          <w:spacing w:val="-2"/>
          <w:sz w:val="28"/>
        </w:rPr>
        <w:t xml:space="preserve">PENGARUH MEDIA PAPAN PERKALIAN TERHADAP HASIL BELAJAR SISWA PADA MATA PELAJARAN MATEMATIKA KELAS III SD NEGERI </w:t>
      </w:r>
      <w:r>
        <w:rPr>
          <w:b/>
          <w:sz w:val="28"/>
        </w:rPr>
        <w:t xml:space="preserve">053963 RAJA TENGAH </w:t>
      </w:r>
    </w:p>
    <w:p w14:paraId="7057CBF5">
      <w:pPr>
        <w:ind w:left="10" w:right="9"/>
        <w:jc w:val="center"/>
        <w:rPr>
          <w:b/>
          <w:sz w:val="28"/>
        </w:rPr>
      </w:pPr>
      <w:r>
        <w:rPr>
          <w:b/>
          <w:sz w:val="28"/>
        </w:rPr>
        <w:t>TAHUN PELAJARAN 2025/2026</w:t>
      </w:r>
    </w:p>
    <w:p w14:paraId="24A32736">
      <w:pPr>
        <w:ind w:left="10" w:right="9"/>
        <w:jc w:val="center"/>
        <w:rPr>
          <w:b/>
          <w:sz w:val="28"/>
        </w:rPr>
      </w:pPr>
    </w:p>
    <w:p w14:paraId="3458D4AA">
      <w:pPr>
        <w:ind w:left="10" w:right="9"/>
        <w:jc w:val="center"/>
        <w:rPr>
          <w:b/>
          <w:i/>
          <w:sz w:val="28"/>
        </w:rPr>
      </w:pPr>
      <w:r>
        <w:rPr>
          <w:b/>
          <w:i/>
          <w:sz w:val="28"/>
        </w:rPr>
        <w:t>THE EFFECT OF MULTIP;ICATIOM BOARD MEDIA ON STUDENT LEARNING OUTCOMES IN MATHEMATICS GRADE III OF STATE ELEMENTARY SCHOOL 053963 RAJA TENGAH ACADEMIC YEAR 2025/2026</w:t>
      </w:r>
    </w:p>
    <w:p w14:paraId="5CBC4DF3">
      <w:pPr>
        <w:ind w:left="10" w:right="9"/>
        <w:jc w:val="center"/>
        <w:rPr>
          <w:b/>
          <w:sz w:val="28"/>
        </w:rPr>
      </w:pPr>
    </w:p>
    <w:p w14:paraId="130002A9">
      <w:pPr>
        <w:jc w:val="center"/>
        <w:rPr>
          <w:b/>
          <w:bCs/>
        </w:rPr>
      </w:pPr>
      <w:r>
        <w:rPr>
          <w:b/>
          <w:bCs/>
        </w:rPr>
        <w:t>Yola Arbiana Br Surbakti</w:t>
      </w:r>
    </w:p>
    <w:p w14:paraId="30D70995">
      <w:pPr>
        <w:spacing w:line="240" w:lineRule="auto"/>
        <w:jc w:val="center"/>
      </w:pPr>
      <w:r>
        <w:t>Pendidikan Guru Sekolah Dasar, Universitas Quality</w:t>
      </w:r>
    </w:p>
    <w:p w14:paraId="4FF85D71">
      <w:pPr>
        <w:spacing w:line="240" w:lineRule="auto"/>
        <w:jc w:val="center"/>
      </w:pPr>
      <w:r>
        <w:t xml:space="preserve"> Jl. Ngumban Surbakti No. 18, Sempakata, Kec. Medan Selayang, Kec. Medan Selayang, Kota Medan, Sumatera Utara, 20132, Indonesia </w:t>
      </w:r>
    </w:p>
    <w:p w14:paraId="64F139CF">
      <w:pPr>
        <w:spacing w:line="240" w:lineRule="auto"/>
        <w:jc w:val="center"/>
      </w:pPr>
    </w:p>
    <w:p w14:paraId="1DA0BCC7">
      <w:pPr>
        <w:spacing w:line="240" w:lineRule="auto"/>
        <w:jc w:val="center"/>
        <w:rPr>
          <w:sz w:val="24"/>
          <w:szCs w:val="24"/>
        </w:rPr>
      </w:pPr>
      <w:r>
        <w:rPr>
          <w:sz w:val="24"/>
        </w:rPr>
        <w:t>Muhammad Daliani: 08126593634, email: mddaniboy@gmail.com</w:t>
      </w:r>
    </w:p>
    <w:p w14:paraId="726175DA">
      <w:pPr>
        <w:pStyle w:val="10"/>
        <w:spacing w:before="158"/>
        <w:rPr>
          <w:b/>
          <w:sz w:val="28"/>
        </w:rPr>
      </w:pPr>
    </w:p>
    <w:p w14:paraId="762558AE">
      <w:pPr>
        <w:pStyle w:val="2"/>
        <w:ind w:left="0" w:right="1915"/>
        <w:jc w:val="left"/>
        <w:rPr>
          <w:b/>
          <w:sz w:val="28"/>
        </w:rPr>
      </w:pPr>
      <w:bookmarkStart w:id="0" w:name="_TOC_250036"/>
      <w:bookmarkEnd w:id="0"/>
      <w:r>
        <w:rPr>
          <w:spacing w:val="-2"/>
          <w:sz w:val="24"/>
          <w:szCs w:val="24"/>
        </w:rPr>
        <w:t>ABSTRAK</w:t>
      </w:r>
    </w:p>
    <w:p w14:paraId="5131F842">
      <w:pPr>
        <w:pStyle w:val="10"/>
        <w:ind w:right="3" w:hanging="10"/>
        <w:jc w:val="both"/>
        <w:rPr>
          <w:sz w:val="16"/>
        </w:rPr>
      </w:pPr>
      <w:r>
        <w:t>Penelitian ini bertujuan untuk mengetahui pengaruh penggunaan media papan perkalian</w:t>
      </w:r>
      <w:r>
        <w:rPr>
          <w:spacing w:val="-9"/>
        </w:rPr>
        <w:t xml:space="preserve"> </w:t>
      </w:r>
      <w:r>
        <w:t>terhadap</w:t>
      </w:r>
      <w:r>
        <w:rPr>
          <w:spacing w:val="-9"/>
        </w:rPr>
        <w:t xml:space="preserve"> </w:t>
      </w:r>
      <w:r>
        <w:t>hasil</w:t>
      </w:r>
      <w:r>
        <w:rPr>
          <w:spacing w:val="-8"/>
        </w:rPr>
        <w:t xml:space="preserve"> </w:t>
      </w:r>
      <w:r>
        <w:t>belajar</w:t>
      </w:r>
      <w:r>
        <w:rPr>
          <w:spacing w:val="-10"/>
        </w:rPr>
        <w:t xml:space="preserve"> </w:t>
      </w:r>
      <w:r>
        <w:t>matematika</w:t>
      </w:r>
      <w:r>
        <w:rPr>
          <w:spacing w:val="-10"/>
        </w:rPr>
        <w:t xml:space="preserve"> </w:t>
      </w:r>
      <w:r>
        <w:t>siswa</w:t>
      </w:r>
      <w:r>
        <w:rPr>
          <w:spacing w:val="-8"/>
        </w:rPr>
        <w:t xml:space="preserve"> </w:t>
      </w:r>
      <w:r>
        <w:t>kelas</w:t>
      </w:r>
      <w:r>
        <w:rPr>
          <w:spacing w:val="-10"/>
        </w:rPr>
        <w:t xml:space="preserve"> </w:t>
      </w:r>
      <w:r>
        <w:t>III</w:t>
      </w:r>
      <w:r>
        <w:rPr>
          <w:spacing w:val="-10"/>
        </w:rPr>
        <w:t xml:space="preserve"> </w:t>
      </w:r>
      <w:r>
        <w:t>SD</w:t>
      </w:r>
      <w:r>
        <w:rPr>
          <w:spacing w:val="-10"/>
        </w:rPr>
        <w:t xml:space="preserve"> </w:t>
      </w:r>
      <w:r>
        <w:t>Negeri</w:t>
      </w:r>
      <w:r>
        <w:rPr>
          <w:spacing w:val="-9"/>
        </w:rPr>
        <w:t xml:space="preserve"> </w:t>
      </w:r>
      <w:r>
        <w:t>053963</w:t>
      </w:r>
      <w:r>
        <w:rPr>
          <w:spacing w:val="-9"/>
        </w:rPr>
        <w:t xml:space="preserve"> </w:t>
      </w:r>
      <w:r>
        <w:t>Raja Tengah Tahun Pelajaran 2025/2026. Sasaran penelitian ini adalah seluruh siswa kelas</w:t>
      </w:r>
      <w:r>
        <w:rPr>
          <w:spacing w:val="-15"/>
        </w:rPr>
        <w:t xml:space="preserve"> </w:t>
      </w:r>
      <w:r>
        <w:t>III</w:t>
      </w:r>
      <w:r>
        <w:rPr>
          <w:spacing w:val="-11"/>
        </w:rPr>
        <w:t xml:space="preserve"> </w:t>
      </w:r>
      <w:r>
        <w:t>yang</w:t>
      </w:r>
      <w:r>
        <w:rPr>
          <w:spacing w:val="-8"/>
        </w:rPr>
        <w:t xml:space="preserve"> </w:t>
      </w:r>
      <w:r>
        <w:t>terdiri</w:t>
      </w:r>
      <w:r>
        <w:rPr>
          <w:spacing w:val="-6"/>
        </w:rPr>
        <w:t xml:space="preserve"> </w:t>
      </w:r>
      <w:r>
        <w:t>atas</w:t>
      </w:r>
      <w:r>
        <w:rPr>
          <w:spacing w:val="-8"/>
        </w:rPr>
        <w:t xml:space="preserve"> </w:t>
      </w:r>
      <w:r>
        <w:t>dua</w:t>
      </w:r>
      <w:r>
        <w:rPr>
          <w:spacing w:val="-11"/>
        </w:rPr>
        <w:t xml:space="preserve"> </w:t>
      </w:r>
      <w:r>
        <w:t>kelas,</w:t>
      </w:r>
      <w:r>
        <w:rPr>
          <w:spacing w:val="-8"/>
        </w:rPr>
        <w:t xml:space="preserve"> </w:t>
      </w:r>
      <w:r>
        <w:t>yaitu</w:t>
      </w:r>
      <w:r>
        <w:rPr>
          <w:spacing w:val="-10"/>
        </w:rPr>
        <w:t xml:space="preserve"> </w:t>
      </w:r>
      <w:r>
        <w:t>kelas</w:t>
      </w:r>
      <w:r>
        <w:rPr>
          <w:spacing w:val="-8"/>
        </w:rPr>
        <w:t xml:space="preserve"> </w:t>
      </w:r>
      <w:r>
        <w:t>IIIA</w:t>
      </w:r>
      <w:r>
        <w:rPr>
          <w:spacing w:val="-15"/>
        </w:rPr>
        <w:t xml:space="preserve"> </w:t>
      </w:r>
      <w:r>
        <w:t>sebagai</w:t>
      </w:r>
      <w:r>
        <w:rPr>
          <w:spacing w:val="-9"/>
        </w:rPr>
        <w:t xml:space="preserve"> </w:t>
      </w:r>
      <w:r>
        <w:t>kelas</w:t>
      </w:r>
      <w:r>
        <w:rPr>
          <w:spacing w:val="-10"/>
        </w:rPr>
        <w:t xml:space="preserve"> </w:t>
      </w:r>
      <w:r>
        <w:t>kontrol</w:t>
      </w:r>
      <w:r>
        <w:rPr>
          <w:spacing w:val="-9"/>
        </w:rPr>
        <w:t xml:space="preserve"> </w:t>
      </w:r>
      <w:r>
        <w:t>dan</w:t>
      </w:r>
      <w:r>
        <w:rPr>
          <w:spacing w:val="-10"/>
        </w:rPr>
        <w:t xml:space="preserve"> </w:t>
      </w:r>
      <w:r>
        <w:t>kelas IIIB</w:t>
      </w:r>
      <w:r>
        <w:rPr>
          <w:spacing w:val="-1"/>
        </w:rPr>
        <w:t xml:space="preserve"> </w:t>
      </w:r>
      <w:r>
        <w:t>sebagai kelas</w:t>
      </w:r>
      <w:r>
        <w:rPr>
          <w:spacing w:val="-1"/>
        </w:rPr>
        <w:t xml:space="preserve"> </w:t>
      </w:r>
      <w:r>
        <w:t>eksperimen.</w:t>
      </w:r>
      <w:r>
        <w:rPr>
          <w:spacing w:val="-1"/>
        </w:rPr>
        <w:t xml:space="preserve"> </w:t>
      </w:r>
      <w:r>
        <w:t>Penelitian</w:t>
      </w:r>
      <w:r>
        <w:rPr>
          <w:spacing w:val="-1"/>
        </w:rPr>
        <w:t xml:space="preserve"> </w:t>
      </w:r>
      <w:r>
        <w:t>ini</w:t>
      </w:r>
      <w:r>
        <w:rPr>
          <w:spacing w:val="-2"/>
        </w:rPr>
        <w:t xml:space="preserve"> </w:t>
      </w:r>
      <w:r>
        <w:t>menggunakan</w:t>
      </w:r>
      <w:r>
        <w:rPr>
          <w:spacing w:val="-1"/>
        </w:rPr>
        <w:t xml:space="preserve"> </w:t>
      </w:r>
      <w:r>
        <w:t>pendekatan</w:t>
      </w:r>
      <w:r>
        <w:rPr>
          <w:spacing w:val="-1"/>
        </w:rPr>
        <w:t xml:space="preserve"> </w:t>
      </w:r>
      <w:r>
        <w:t>kuantitatif dengan metode eksperimen semu (quasi experiment) melalui desain Non Equivalent Control Group Design. Instrumen penelitian berupa tes hasil belajar berbentuk pilihan ganda yang diberikan dalam bentuk pretest dan posttest. Hasil nilai pretest dari kelas III</w:t>
      </w:r>
      <w:r>
        <w:rPr>
          <w:spacing w:val="-13"/>
        </w:rPr>
        <w:t xml:space="preserve"> </w:t>
      </w:r>
      <w:r>
        <w:t>A</w:t>
      </w:r>
      <w:r>
        <w:rPr>
          <w:spacing w:val="-10"/>
        </w:rPr>
        <w:t xml:space="preserve"> </w:t>
      </w:r>
      <w:r>
        <w:t xml:space="preserve">adalah 52,86 dan pretest dari kelas III B adalah 52,67. Lalu hasil nilai postest dari kelas kontrol adalah 77,14 dan postest dari kelas </w:t>
      </w:r>
      <w:r>
        <w:rPr>
          <w:position w:val="2"/>
        </w:rPr>
        <w:t>eksperimen</w:t>
      </w:r>
      <w:r>
        <w:rPr>
          <w:spacing w:val="23"/>
          <w:position w:val="2"/>
        </w:rPr>
        <w:t xml:space="preserve"> </w:t>
      </w:r>
      <w:r>
        <w:rPr>
          <w:position w:val="2"/>
        </w:rPr>
        <w:t>adalah</w:t>
      </w:r>
      <w:r>
        <w:rPr>
          <w:spacing w:val="25"/>
          <w:position w:val="2"/>
        </w:rPr>
        <w:t xml:space="preserve"> </w:t>
      </w:r>
      <w:r>
        <w:rPr>
          <w:position w:val="2"/>
        </w:rPr>
        <w:t>92,00.</w:t>
      </w:r>
      <w:r>
        <w:rPr>
          <w:spacing w:val="25"/>
          <w:position w:val="2"/>
        </w:rPr>
        <w:t xml:space="preserve"> </w:t>
      </w:r>
      <w:r>
        <w:rPr>
          <w:position w:val="2"/>
        </w:rPr>
        <w:t>Hasil</w:t>
      </w:r>
      <w:r>
        <w:rPr>
          <w:spacing w:val="26"/>
          <w:position w:val="2"/>
        </w:rPr>
        <w:t xml:space="preserve"> </w:t>
      </w:r>
      <w:r>
        <w:rPr>
          <w:position w:val="2"/>
        </w:rPr>
        <w:t>nilai</w:t>
      </w:r>
      <w:r>
        <w:rPr>
          <w:spacing w:val="25"/>
          <w:position w:val="2"/>
        </w:rPr>
        <w:t xml:space="preserve"> </w:t>
      </w:r>
      <w:r>
        <w:rPr>
          <w:position w:val="2"/>
        </w:rPr>
        <w:t>uji</w:t>
      </w:r>
      <w:r>
        <w:rPr>
          <w:spacing w:val="23"/>
          <w:position w:val="2"/>
        </w:rPr>
        <w:t xml:space="preserve"> </w:t>
      </w:r>
      <w:r>
        <w:rPr>
          <w:position w:val="2"/>
        </w:rPr>
        <w:t>t</w:t>
      </w:r>
      <w:r>
        <w:rPr>
          <w:spacing w:val="25"/>
          <w:position w:val="2"/>
        </w:rPr>
        <w:t xml:space="preserve"> </w:t>
      </w:r>
      <w:r>
        <w:rPr>
          <w:position w:val="2"/>
        </w:rPr>
        <w:t>yaitu</w:t>
      </w:r>
      <w:r>
        <w:rPr>
          <w:spacing w:val="23"/>
          <w:position w:val="2"/>
        </w:rPr>
        <w:t xml:space="preserve"> </w:t>
      </w:r>
      <w:r>
        <w:rPr>
          <w:position w:val="2"/>
        </w:rPr>
        <w:t>t</w:t>
      </w:r>
      <w:r>
        <w:rPr>
          <w:spacing w:val="23"/>
          <w:position w:val="2"/>
        </w:rPr>
        <w:t xml:space="preserve"> </w:t>
      </w:r>
      <w:r>
        <w:rPr>
          <w:position w:val="2"/>
        </w:rPr>
        <w:t>hitung</w:t>
      </w:r>
      <w:r>
        <w:rPr>
          <w:spacing w:val="25"/>
          <w:position w:val="2"/>
        </w:rPr>
        <w:t xml:space="preserve"> </w:t>
      </w:r>
      <w:r>
        <w:rPr>
          <w:position w:val="2"/>
        </w:rPr>
        <w:t>dan</w:t>
      </w:r>
      <w:r>
        <w:rPr>
          <w:spacing w:val="25"/>
          <w:position w:val="2"/>
        </w:rPr>
        <w:t xml:space="preserve"> </w:t>
      </w:r>
      <w:r>
        <w:rPr>
          <w:position w:val="2"/>
        </w:rPr>
        <w:t>t</w:t>
      </w:r>
      <w:r>
        <w:rPr>
          <w:spacing w:val="23"/>
          <w:position w:val="2"/>
        </w:rPr>
        <w:t xml:space="preserve"> </w:t>
      </w:r>
      <w:r>
        <w:rPr>
          <w:position w:val="2"/>
        </w:rPr>
        <w:t>tabel</w:t>
      </w:r>
      <w:r>
        <w:rPr>
          <w:spacing w:val="25"/>
          <w:position w:val="2"/>
        </w:rPr>
        <w:t xml:space="preserve"> </w:t>
      </w:r>
      <w:r>
        <w:rPr>
          <w:position w:val="2"/>
        </w:rPr>
        <w:t>adalah</w:t>
      </w:r>
      <w:r>
        <w:rPr>
          <w:spacing w:val="26"/>
          <w:position w:val="2"/>
        </w:rPr>
        <w:t xml:space="preserve"> </w:t>
      </w:r>
      <w:r>
        <w:rPr>
          <w:spacing w:val="-2"/>
          <w:position w:val="2"/>
        </w:rPr>
        <w:t>t</w:t>
      </w:r>
      <w:r>
        <w:rPr>
          <w:spacing w:val="-2"/>
          <w:sz w:val="16"/>
        </w:rPr>
        <w:t>hitung</w:t>
      </w:r>
    </w:p>
    <w:p w14:paraId="72FE2085">
      <w:pPr>
        <w:pStyle w:val="10"/>
        <w:ind w:right="3"/>
        <w:jc w:val="both"/>
      </w:pPr>
      <w:r>
        <w:rPr>
          <w:position w:val="2"/>
        </w:rPr>
        <w:t>=3,49 dan t</w:t>
      </w:r>
      <w:r>
        <w:rPr>
          <w:sz w:val="16"/>
        </w:rPr>
        <w:t>tabel</w:t>
      </w:r>
      <w:r>
        <w:rPr>
          <w:spacing w:val="40"/>
          <w:sz w:val="16"/>
        </w:rPr>
        <w:t xml:space="preserve"> </w:t>
      </w:r>
      <w:r>
        <w:rPr>
          <w:position w:val="2"/>
        </w:rPr>
        <w:t>= 2,03. Karena t</w:t>
      </w:r>
      <w:r>
        <w:rPr>
          <w:sz w:val="16"/>
        </w:rPr>
        <w:t xml:space="preserve">hitung </w:t>
      </w:r>
      <w:r>
        <w:rPr>
          <w:position w:val="2"/>
        </w:rPr>
        <w:t>&gt; t</w:t>
      </w:r>
      <w:r>
        <w:rPr>
          <w:sz w:val="16"/>
        </w:rPr>
        <w:t>tabel</w:t>
      </w:r>
      <w:r>
        <w:rPr>
          <w:position w:val="2"/>
        </w:rPr>
        <w:t xml:space="preserve">, maka Ha diterima yang artinya ada </w:t>
      </w:r>
      <w:r>
        <w:t>pengaruh</w:t>
      </w:r>
      <w:r>
        <w:rPr>
          <w:spacing w:val="-9"/>
        </w:rPr>
        <w:t xml:space="preserve"> </w:t>
      </w:r>
      <w:r>
        <w:t>Penggunaan</w:t>
      </w:r>
      <w:r>
        <w:rPr>
          <w:spacing w:val="-8"/>
        </w:rPr>
        <w:t xml:space="preserve"> </w:t>
      </w:r>
      <w:r>
        <w:t>media</w:t>
      </w:r>
      <w:r>
        <w:rPr>
          <w:spacing w:val="-9"/>
        </w:rPr>
        <w:t xml:space="preserve"> </w:t>
      </w:r>
      <w:r>
        <w:t>papan</w:t>
      </w:r>
      <w:r>
        <w:rPr>
          <w:spacing w:val="-6"/>
        </w:rPr>
        <w:t xml:space="preserve"> </w:t>
      </w:r>
      <w:r>
        <w:t>perkalian</w:t>
      </w:r>
      <w:r>
        <w:rPr>
          <w:spacing w:val="-8"/>
        </w:rPr>
        <w:t xml:space="preserve"> </w:t>
      </w:r>
      <w:r>
        <w:t>terhadap</w:t>
      </w:r>
      <w:r>
        <w:rPr>
          <w:spacing w:val="-8"/>
        </w:rPr>
        <w:t xml:space="preserve"> </w:t>
      </w:r>
      <w:r>
        <w:t>hasil</w:t>
      </w:r>
      <w:r>
        <w:rPr>
          <w:spacing w:val="-7"/>
        </w:rPr>
        <w:t xml:space="preserve"> </w:t>
      </w:r>
      <w:r>
        <w:t>belajar</w:t>
      </w:r>
      <w:r>
        <w:rPr>
          <w:spacing w:val="-9"/>
        </w:rPr>
        <w:t xml:space="preserve"> </w:t>
      </w:r>
      <w:r>
        <w:t>siswa</w:t>
      </w:r>
      <w:r>
        <w:rPr>
          <w:spacing w:val="40"/>
        </w:rPr>
        <w:t xml:space="preserve"> </w:t>
      </w:r>
      <w:r>
        <w:t>kelas</w:t>
      </w:r>
      <w:r>
        <w:rPr>
          <w:spacing w:val="-9"/>
        </w:rPr>
        <w:t xml:space="preserve"> </w:t>
      </w:r>
      <w:r>
        <w:t>III SD Negeri 053963 Raja Tengah tahun pelajaran 2025/2026. Dengan demikian, pengaruh penggunaan media papan perkalian terhadap hasil belajar siswa di kelas III SD Negeri 053963 Raja Tengah tahun pelajan 2025/2026 dapat meningkatkan hasil belajar.</w:t>
      </w:r>
    </w:p>
    <w:p w14:paraId="328D0560">
      <w:pPr>
        <w:pStyle w:val="6"/>
        <w:ind w:left="0" w:right="3"/>
        <w:rPr>
          <w:b/>
        </w:rPr>
      </w:pPr>
      <w:r>
        <w:t>Kata</w:t>
      </w:r>
      <w:r>
        <w:rPr>
          <w:spacing w:val="-6"/>
        </w:rPr>
        <w:t xml:space="preserve"> </w:t>
      </w:r>
      <w:r>
        <w:t>kunci:</w:t>
      </w:r>
      <w:r>
        <w:rPr>
          <w:spacing w:val="-6"/>
        </w:rPr>
        <w:t xml:space="preserve"> </w:t>
      </w:r>
      <w:r>
        <w:t>Media</w:t>
      </w:r>
      <w:r>
        <w:rPr>
          <w:spacing w:val="-5"/>
        </w:rPr>
        <w:t xml:space="preserve"> </w:t>
      </w:r>
      <w:r>
        <w:t>Papan</w:t>
      </w:r>
      <w:r>
        <w:rPr>
          <w:spacing w:val="-5"/>
        </w:rPr>
        <w:t xml:space="preserve"> </w:t>
      </w:r>
      <w:r>
        <w:t>Perkalian,</w:t>
      </w:r>
      <w:r>
        <w:rPr>
          <w:spacing w:val="-5"/>
        </w:rPr>
        <w:t xml:space="preserve"> </w:t>
      </w:r>
      <w:r>
        <w:t>Hasil</w:t>
      </w:r>
      <w:r>
        <w:rPr>
          <w:spacing w:val="-8"/>
        </w:rPr>
        <w:t xml:space="preserve"> </w:t>
      </w:r>
      <w:r>
        <w:t>Belajar,</w:t>
      </w:r>
      <w:r>
        <w:rPr>
          <w:spacing w:val="-6"/>
        </w:rPr>
        <w:t xml:space="preserve"> </w:t>
      </w:r>
      <w:r>
        <w:t>Matematika</w:t>
      </w:r>
      <w:r>
        <w:rPr>
          <w:spacing w:val="-5"/>
        </w:rPr>
        <w:t xml:space="preserve"> SD</w:t>
      </w:r>
    </w:p>
    <w:p w14:paraId="37D45E52">
      <w:pPr>
        <w:pStyle w:val="4"/>
        <w:ind w:left="0"/>
        <w:jc w:val="left"/>
        <w:rPr>
          <w:spacing w:val="-2"/>
          <w:sz w:val="24"/>
          <w:szCs w:val="24"/>
        </w:rPr>
      </w:pPr>
      <w:bookmarkStart w:id="1" w:name="_TOC_250035"/>
      <w:bookmarkEnd w:id="1"/>
    </w:p>
    <w:p w14:paraId="31E710A3">
      <w:pPr>
        <w:pStyle w:val="4"/>
        <w:ind w:left="0"/>
        <w:jc w:val="left"/>
        <w:rPr>
          <w:b/>
          <w:i/>
          <w:sz w:val="28"/>
        </w:rPr>
      </w:pPr>
      <w:r>
        <w:rPr>
          <w:spacing w:val="-2"/>
          <w:sz w:val="24"/>
          <w:szCs w:val="24"/>
        </w:rPr>
        <w:t>ABSTRACT</w:t>
      </w:r>
    </w:p>
    <w:p w14:paraId="32DD7325">
      <w:pPr>
        <w:ind w:right="3" w:hanging="10"/>
        <w:jc w:val="both"/>
        <w:rPr>
          <w:i/>
        </w:rPr>
      </w:pPr>
      <w:r>
        <w:rPr>
          <w:i/>
          <w:iCs/>
          <w:sz w:val="24"/>
          <w:szCs w:val="24"/>
        </w:rPr>
        <w:t>This</w:t>
      </w:r>
      <w:r>
        <w:rPr>
          <w:i/>
          <w:iCs/>
          <w:spacing w:val="-10"/>
          <w:sz w:val="24"/>
          <w:szCs w:val="24"/>
        </w:rPr>
        <w:t xml:space="preserve"> </w:t>
      </w:r>
      <w:r>
        <w:rPr>
          <w:i/>
          <w:iCs/>
          <w:sz w:val="24"/>
          <w:szCs w:val="24"/>
        </w:rPr>
        <w:t>study</w:t>
      </w:r>
      <w:r>
        <w:rPr>
          <w:i/>
          <w:iCs/>
          <w:spacing w:val="-11"/>
          <w:sz w:val="24"/>
          <w:szCs w:val="24"/>
        </w:rPr>
        <w:t xml:space="preserve"> </w:t>
      </w:r>
      <w:r>
        <w:rPr>
          <w:i/>
          <w:iCs/>
          <w:sz w:val="24"/>
          <w:szCs w:val="24"/>
        </w:rPr>
        <w:t>aims</w:t>
      </w:r>
      <w:r>
        <w:rPr>
          <w:i/>
          <w:iCs/>
          <w:spacing w:val="-10"/>
          <w:sz w:val="24"/>
          <w:szCs w:val="24"/>
        </w:rPr>
        <w:t xml:space="preserve"> </w:t>
      </w:r>
      <w:r>
        <w:rPr>
          <w:i/>
          <w:iCs/>
          <w:sz w:val="24"/>
          <w:szCs w:val="24"/>
        </w:rPr>
        <w:t>to</w:t>
      </w:r>
      <w:r>
        <w:rPr>
          <w:i/>
          <w:iCs/>
          <w:spacing w:val="-10"/>
          <w:sz w:val="24"/>
          <w:szCs w:val="24"/>
        </w:rPr>
        <w:t xml:space="preserve"> </w:t>
      </w:r>
      <w:r>
        <w:rPr>
          <w:i/>
          <w:iCs/>
          <w:sz w:val="24"/>
          <w:szCs w:val="24"/>
        </w:rPr>
        <w:t>determine</w:t>
      </w:r>
      <w:r>
        <w:rPr>
          <w:i/>
          <w:iCs/>
          <w:spacing w:val="-11"/>
          <w:sz w:val="24"/>
          <w:szCs w:val="24"/>
        </w:rPr>
        <w:t xml:space="preserve"> </w:t>
      </w:r>
      <w:r>
        <w:rPr>
          <w:i/>
          <w:iCs/>
          <w:sz w:val="24"/>
          <w:szCs w:val="24"/>
        </w:rPr>
        <w:t>the</w:t>
      </w:r>
      <w:r>
        <w:rPr>
          <w:i/>
          <w:iCs/>
          <w:spacing w:val="-11"/>
          <w:sz w:val="24"/>
          <w:szCs w:val="24"/>
        </w:rPr>
        <w:t xml:space="preserve"> </w:t>
      </w:r>
      <w:r>
        <w:rPr>
          <w:i/>
          <w:iCs/>
          <w:sz w:val="24"/>
          <w:szCs w:val="24"/>
        </w:rPr>
        <w:t>effect</w:t>
      </w:r>
      <w:r>
        <w:rPr>
          <w:i/>
          <w:iCs/>
          <w:spacing w:val="-10"/>
          <w:sz w:val="24"/>
          <w:szCs w:val="24"/>
        </w:rPr>
        <w:t xml:space="preserve"> </w:t>
      </w:r>
      <w:r>
        <w:rPr>
          <w:i/>
          <w:iCs/>
          <w:sz w:val="24"/>
          <w:szCs w:val="24"/>
        </w:rPr>
        <w:t>of</w:t>
      </w:r>
      <w:r>
        <w:rPr>
          <w:i/>
          <w:iCs/>
          <w:spacing w:val="-10"/>
          <w:sz w:val="24"/>
          <w:szCs w:val="24"/>
        </w:rPr>
        <w:t xml:space="preserve"> </w:t>
      </w:r>
      <w:r>
        <w:rPr>
          <w:i/>
          <w:iCs/>
          <w:sz w:val="24"/>
          <w:szCs w:val="24"/>
        </w:rPr>
        <w:t>using</w:t>
      </w:r>
      <w:r>
        <w:rPr>
          <w:i/>
          <w:iCs/>
          <w:spacing w:val="-10"/>
          <w:sz w:val="24"/>
          <w:szCs w:val="24"/>
        </w:rPr>
        <w:t xml:space="preserve"> </w:t>
      </w:r>
      <w:r>
        <w:rPr>
          <w:i/>
          <w:iCs/>
          <w:sz w:val="24"/>
          <w:szCs w:val="24"/>
        </w:rPr>
        <w:t>a</w:t>
      </w:r>
      <w:r>
        <w:rPr>
          <w:i/>
          <w:iCs/>
          <w:spacing w:val="-11"/>
          <w:sz w:val="24"/>
          <w:szCs w:val="24"/>
        </w:rPr>
        <w:t xml:space="preserve"> </w:t>
      </w:r>
      <w:r>
        <w:rPr>
          <w:i/>
          <w:iCs/>
          <w:sz w:val="24"/>
          <w:szCs w:val="24"/>
        </w:rPr>
        <w:t>multiplication</w:t>
      </w:r>
      <w:r>
        <w:rPr>
          <w:i/>
          <w:iCs/>
          <w:spacing w:val="-10"/>
          <w:sz w:val="24"/>
          <w:szCs w:val="24"/>
        </w:rPr>
        <w:t xml:space="preserve"> </w:t>
      </w:r>
      <w:r>
        <w:rPr>
          <w:i/>
          <w:iCs/>
          <w:sz w:val="24"/>
          <w:szCs w:val="24"/>
        </w:rPr>
        <w:t>board</w:t>
      </w:r>
      <w:r>
        <w:rPr>
          <w:i/>
          <w:iCs/>
          <w:spacing w:val="-11"/>
          <w:sz w:val="24"/>
          <w:szCs w:val="24"/>
        </w:rPr>
        <w:t xml:space="preserve"> </w:t>
      </w:r>
      <w:r>
        <w:rPr>
          <w:i/>
          <w:iCs/>
          <w:sz w:val="24"/>
          <w:szCs w:val="24"/>
        </w:rPr>
        <w:t>media</w:t>
      </w:r>
      <w:r>
        <w:rPr>
          <w:i/>
          <w:iCs/>
          <w:spacing w:val="-10"/>
          <w:sz w:val="24"/>
          <w:szCs w:val="24"/>
        </w:rPr>
        <w:t xml:space="preserve"> </w:t>
      </w:r>
      <w:r>
        <w:rPr>
          <w:i/>
          <w:iCs/>
          <w:sz w:val="24"/>
          <w:szCs w:val="24"/>
        </w:rPr>
        <w:t>on</w:t>
      </w:r>
      <w:r>
        <w:rPr>
          <w:i/>
          <w:iCs/>
          <w:spacing w:val="-11"/>
          <w:sz w:val="24"/>
          <w:szCs w:val="24"/>
        </w:rPr>
        <w:t xml:space="preserve"> </w:t>
      </w:r>
      <w:r>
        <w:rPr>
          <w:i/>
          <w:iCs/>
          <w:sz w:val="24"/>
          <w:szCs w:val="24"/>
        </w:rPr>
        <w:t>the mathematics</w:t>
      </w:r>
      <w:r>
        <w:rPr>
          <w:i/>
          <w:iCs/>
          <w:spacing w:val="-3"/>
          <w:sz w:val="24"/>
          <w:szCs w:val="24"/>
        </w:rPr>
        <w:t xml:space="preserve"> </w:t>
      </w:r>
      <w:r>
        <w:rPr>
          <w:i/>
          <w:iCs/>
          <w:sz w:val="24"/>
          <w:szCs w:val="24"/>
        </w:rPr>
        <w:t>learning</w:t>
      </w:r>
      <w:r>
        <w:rPr>
          <w:i/>
          <w:iCs/>
          <w:spacing w:val="-3"/>
          <w:sz w:val="24"/>
          <w:szCs w:val="24"/>
        </w:rPr>
        <w:t xml:space="preserve"> </w:t>
      </w:r>
      <w:r>
        <w:rPr>
          <w:i/>
          <w:iCs/>
          <w:sz w:val="24"/>
          <w:szCs w:val="24"/>
        </w:rPr>
        <w:t>outcomes</w:t>
      </w:r>
      <w:r>
        <w:rPr>
          <w:i/>
          <w:iCs/>
          <w:spacing w:val="-3"/>
          <w:sz w:val="24"/>
          <w:szCs w:val="24"/>
        </w:rPr>
        <w:t xml:space="preserve"> </w:t>
      </w:r>
      <w:r>
        <w:rPr>
          <w:i/>
          <w:iCs/>
          <w:sz w:val="24"/>
          <w:szCs w:val="24"/>
        </w:rPr>
        <w:t>of</w:t>
      </w:r>
      <w:r>
        <w:rPr>
          <w:i/>
          <w:iCs/>
          <w:spacing w:val="-3"/>
          <w:sz w:val="24"/>
          <w:szCs w:val="24"/>
        </w:rPr>
        <w:t xml:space="preserve"> </w:t>
      </w:r>
      <w:r>
        <w:rPr>
          <w:i/>
          <w:iCs/>
          <w:sz w:val="24"/>
          <w:szCs w:val="24"/>
        </w:rPr>
        <w:t>third-grade</w:t>
      </w:r>
      <w:r>
        <w:rPr>
          <w:i/>
          <w:iCs/>
          <w:spacing w:val="-3"/>
          <w:sz w:val="24"/>
          <w:szCs w:val="24"/>
        </w:rPr>
        <w:t xml:space="preserve"> </w:t>
      </w:r>
      <w:r>
        <w:rPr>
          <w:i/>
          <w:iCs/>
          <w:sz w:val="24"/>
          <w:szCs w:val="24"/>
        </w:rPr>
        <w:t>students</w:t>
      </w:r>
      <w:r>
        <w:rPr>
          <w:i/>
          <w:iCs/>
          <w:spacing w:val="-3"/>
          <w:sz w:val="24"/>
          <w:szCs w:val="24"/>
        </w:rPr>
        <w:t xml:space="preserve"> </w:t>
      </w:r>
      <w:r>
        <w:rPr>
          <w:i/>
          <w:iCs/>
          <w:sz w:val="24"/>
          <w:szCs w:val="24"/>
        </w:rPr>
        <w:t>at</w:t>
      </w:r>
      <w:r>
        <w:rPr>
          <w:i/>
          <w:iCs/>
          <w:spacing w:val="-3"/>
          <w:sz w:val="24"/>
          <w:szCs w:val="24"/>
        </w:rPr>
        <w:t xml:space="preserve"> </w:t>
      </w:r>
      <w:r>
        <w:rPr>
          <w:i/>
          <w:iCs/>
          <w:sz w:val="24"/>
          <w:szCs w:val="24"/>
        </w:rPr>
        <w:t>SD</w:t>
      </w:r>
      <w:r>
        <w:rPr>
          <w:i/>
          <w:iCs/>
          <w:spacing w:val="-3"/>
          <w:sz w:val="24"/>
          <w:szCs w:val="24"/>
        </w:rPr>
        <w:t xml:space="preserve"> </w:t>
      </w:r>
      <w:r>
        <w:rPr>
          <w:i/>
          <w:iCs/>
          <w:sz w:val="24"/>
          <w:szCs w:val="24"/>
        </w:rPr>
        <w:t>Negeri</w:t>
      </w:r>
      <w:r>
        <w:rPr>
          <w:i/>
          <w:iCs/>
          <w:spacing w:val="-3"/>
          <w:sz w:val="24"/>
          <w:szCs w:val="24"/>
        </w:rPr>
        <w:t xml:space="preserve"> </w:t>
      </w:r>
      <w:r>
        <w:rPr>
          <w:i/>
          <w:iCs/>
          <w:sz w:val="24"/>
          <w:szCs w:val="24"/>
        </w:rPr>
        <w:t>053963</w:t>
      </w:r>
      <w:r>
        <w:rPr>
          <w:i/>
          <w:iCs/>
          <w:spacing w:val="-3"/>
          <w:sz w:val="24"/>
          <w:szCs w:val="24"/>
        </w:rPr>
        <w:t xml:space="preserve"> </w:t>
      </w:r>
      <w:r>
        <w:rPr>
          <w:i/>
          <w:iCs/>
          <w:sz w:val="24"/>
          <w:szCs w:val="24"/>
        </w:rPr>
        <w:t xml:space="preserve">Raja </w:t>
      </w:r>
      <w:r>
        <w:rPr>
          <w:i/>
          <w:iCs/>
          <w:spacing w:val="-2"/>
          <w:sz w:val="24"/>
          <w:szCs w:val="24"/>
        </w:rPr>
        <w:t>Tengah</w:t>
      </w:r>
      <w:r>
        <w:rPr>
          <w:i/>
          <w:iCs/>
          <w:spacing w:val="-6"/>
          <w:sz w:val="24"/>
          <w:szCs w:val="24"/>
        </w:rPr>
        <w:t xml:space="preserve"> </w:t>
      </w:r>
      <w:r>
        <w:rPr>
          <w:i/>
          <w:iCs/>
          <w:spacing w:val="-2"/>
          <w:sz w:val="24"/>
          <w:szCs w:val="24"/>
        </w:rPr>
        <w:t>in</w:t>
      </w:r>
      <w:r>
        <w:rPr>
          <w:i/>
          <w:iCs/>
          <w:spacing w:val="-5"/>
          <w:sz w:val="24"/>
          <w:szCs w:val="24"/>
        </w:rPr>
        <w:t xml:space="preserve"> </w:t>
      </w:r>
      <w:r>
        <w:rPr>
          <w:i/>
          <w:iCs/>
          <w:spacing w:val="-2"/>
          <w:sz w:val="24"/>
          <w:szCs w:val="24"/>
        </w:rPr>
        <w:t>the</w:t>
      </w:r>
      <w:r>
        <w:rPr>
          <w:i/>
          <w:iCs/>
          <w:spacing w:val="-6"/>
          <w:sz w:val="24"/>
          <w:szCs w:val="24"/>
        </w:rPr>
        <w:t xml:space="preserve"> </w:t>
      </w:r>
      <w:r>
        <w:rPr>
          <w:i/>
          <w:iCs/>
          <w:spacing w:val="-2"/>
          <w:sz w:val="24"/>
          <w:szCs w:val="24"/>
        </w:rPr>
        <w:t>2025/2026</w:t>
      </w:r>
      <w:r>
        <w:rPr>
          <w:i/>
          <w:iCs/>
          <w:spacing w:val="-5"/>
          <w:sz w:val="24"/>
          <w:szCs w:val="24"/>
        </w:rPr>
        <w:t xml:space="preserve"> </w:t>
      </w:r>
      <w:r>
        <w:rPr>
          <w:i/>
          <w:iCs/>
          <w:spacing w:val="-2"/>
          <w:sz w:val="24"/>
          <w:szCs w:val="24"/>
        </w:rPr>
        <w:t>academic</w:t>
      </w:r>
      <w:r>
        <w:rPr>
          <w:i/>
          <w:iCs/>
          <w:spacing w:val="-4"/>
          <w:sz w:val="24"/>
          <w:szCs w:val="24"/>
        </w:rPr>
        <w:t xml:space="preserve"> </w:t>
      </w:r>
      <w:r>
        <w:rPr>
          <w:i/>
          <w:iCs/>
          <w:spacing w:val="-2"/>
          <w:sz w:val="24"/>
          <w:szCs w:val="24"/>
        </w:rPr>
        <w:t>year.</w:t>
      </w:r>
      <w:r>
        <w:rPr>
          <w:i/>
          <w:iCs/>
          <w:spacing w:val="-6"/>
          <w:sz w:val="24"/>
          <w:szCs w:val="24"/>
        </w:rPr>
        <w:t xml:space="preserve"> </w:t>
      </w:r>
      <w:r>
        <w:rPr>
          <w:i/>
          <w:iCs/>
          <w:spacing w:val="-2"/>
          <w:sz w:val="24"/>
          <w:szCs w:val="24"/>
        </w:rPr>
        <w:t>The</w:t>
      </w:r>
      <w:r>
        <w:rPr>
          <w:i/>
          <w:iCs/>
          <w:spacing w:val="-7"/>
          <w:sz w:val="24"/>
          <w:szCs w:val="24"/>
        </w:rPr>
        <w:t xml:space="preserve"> </w:t>
      </w:r>
      <w:r>
        <w:rPr>
          <w:i/>
          <w:iCs/>
          <w:spacing w:val="-2"/>
          <w:sz w:val="24"/>
          <w:szCs w:val="24"/>
        </w:rPr>
        <w:t>research</w:t>
      </w:r>
      <w:r>
        <w:rPr>
          <w:i/>
          <w:iCs/>
          <w:spacing w:val="-6"/>
          <w:sz w:val="24"/>
          <w:szCs w:val="24"/>
        </w:rPr>
        <w:t xml:space="preserve"> </w:t>
      </w:r>
      <w:r>
        <w:rPr>
          <w:i/>
          <w:iCs/>
          <w:spacing w:val="-2"/>
          <w:sz w:val="24"/>
          <w:szCs w:val="24"/>
        </w:rPr>
        <w:t>subjects</w:t>
      </w:r>
      <w:r>
        <w:rPr>
          <w:i/>
          <w:iCs/>
          <w:spacing w:val="-5"/>
          <w:sz w:val="24"/>
          <w:szCs w:val="24"/>
        </w:rPr>
        <w:t xml:space="preserve"> </w:t>
      </w:r>
      <w:r>
        <w:rPr>
          <w:i/>
          <w:iCs/>
          <w:spacing w:val="-2"/>
          <w:sz w:val="24"/>
          <w:szCs w:val="24"/>
        </w:rPr>
        <w:t>were</w:t>
      </w:r>
      <w:r>
        <w:rPr>
          <w:i/>
          <w:iCs/>
          <w:spacing w:val="-7"/>
          <w:sz w:val="24"/>
          <w:szCs w:val="24"/>
        </w:rPr>
        <w:t xml:space="preserve"> </w:t>
      </w:r>
      <w:r>
        <w:rPr>
          <w:i/>
          <w:iCs/>
          <w:spacing w:val="-2"/>
          <w:sz w:val="24"/>
          <w:szCs w:val="24"/>
        </w:rPr>
        <w:t>all</w:t>
      </w:r>
      <w:r>
        <w:rPr>
          <w:i/>
          <w:iCs/>
          <w:spacing w:val="-5"/>
          <w:sz w:val="24"/>
          <w:szCs w:val="24"/>
        </w:rPr>
        <w:t xml:space="preserve"> </w:t>
      </w:r>
      <w:r>
        <w:rPr>
          <w:i/>
          <w:iCs/>
          <w:spacing w:val="-2"/>
          <w:sz w:val="24"/>
          <w:szCs w:val="24"/>
        </w:rPr>
        <w:t xml:space="preserve">third-grade </w:t>
      </w:r>
      <w:r>
        <w:rPr>
          <w:i/>
          <w:iCs/>
          <w:sz w:val="24"/>
          <w:szCs w:val="24"/>
        </w:rPr>
        <w:t>students, consisting of two classes: Class IIIA</w:t>
      </w:r>
      <w:r>
        <w:rPr>
          <w:i/>
          <w:iCs/>
          <w:spacing w:val="-3"/>
          <w:sz w:val="24"/>
          <w:szCs w:val="24"/>
        </w:rPr>
        <w:t xml:space="preserve"> </w:t>
      </w:r>
      <w:r>
        <w:rPr>
          <w:i/>
          <w:iCs/>
          <w:sz w:val="24"/>
          <w:szCs w:val="24"/>
        </w:rPr>
        <w:t>as the control group and Class IIIB as the experimental group. This study employed a quantitative approach using a quasi-experimental method with a Non-Equivalent Control Group Design. The research instrument was a multiple-choice</w:t>
      </w:r>
      <w:r>
        <w:rPr>
          <w:i/>
          <w:iCs/>
          <w:spacing w:val="-1"/>
          <w:sz w:val="24"/>
          <w:szCs w:val="24"/>
        </w:rPr>
        <w:t xml:space="preserve"> </w:t>
      </w:r>
      <w:r>
        <w:rPr>
          <w:i/>
          <w:iCs/>
          <w:sz w:val="24"/>
          <w:szCs w:val="24"/>
        </w:rPr>
        <w:t>learning outcomes test administered in the form of a pretest and</w:t>
      </w:r>
      <w:r>
        <w:rPr>
          <w:i/>
          <w:iCs/>
          <w:spacing w:val="-2"/>
          <w:sz w:val="24"/>
          <w:szCs w:val="24"/>
        </w:rPr>
        <w:t xml:space="preserve"> </w:t>
      </w:r>
      <w:r>
        <w:rPr>
          <w:i/>
          <w:iCs/>
          <w:sz w:val="24"/>
          <w:szCs w:val="24"/>
        </w:rPr>
        <w:t>posttest. The</w:t>
      </w:r>
      <w:r>
        <w:rPr>
          <w:i/>
          <w:iCs/>
          <w:spacing w:val="-1"/>
          <w:sz w:val="24"/>
          <w:szCs w:val="24"/>
        </w:rPr>
        <w:t xml:space="preserve"> </w:t>
      </w:r>
      <w:r>
        <w:rPr>
          <w:i/>
          <w:iCs/>
          <w:sz w:val="24"/>
          <w:szCs w:val="24"/>
        </w:rPr>
        <w:t>pretest mean score</w:t>
      </w:r>
      <w:r>
        <w:rPr>
          <w:i/>
          <w:iCs/>
          <w:spacing w:val="-1"/>
          <w:sz w:val="24"/>
          <w:szCs w:val="24"/>
        </w:rPr>
        <w:t xml:space="preserve"> </w:t>
      </w:r>
      <w:r>
        <w:rPr>
          <w:i/>
          <w:iCs/>
          <w:sz w:val="24"/>
          <w:szCs w:val="24"/>
        </w:rPr>
        <w:t>of Class IIIA</w:t>
      </w:r>
      <w:r>
        <w:rPr>
          <w:i/>
          <w:iCs/>
          <w:spacing w:val="-6"/>
          <w:sz w:val="24"/>
          <w:szCs w:val="24"/>
        </w:rPr>
        <w:t xml:space="preserve"> </w:t>
      </w:r>
      <w:r>
        <w:rPr>
          <w:i/>
          <w:iCs/>
          <w:sz w:val="24"/>
          <w:szCs w:val="24"/>
        </w:rPr>
        <w:t>was 52.86, while the pretest mean score of Class IIIB was 52.67. Furthermore, the posttest mean</w:t>
      </w:r>
      <w:r>
        <w:rPr>
          <w:i/>
          <w:iCs/>
          <w:spacing w:val="-15"/>
          <w:sz w:val="24"/>
          <w:szCs w:val="24"/>
        </w:rPr>
        <w:t xml:space="preserve"> </w:t>
      </w:r>
      <w:r>
        <w:rPr>
          <w:i/>
          <w:iCs/>
          <w:sz w:val="24"/>
          <w:szCs w:val="24"/>
        </w:rPr>
        <w:t>score</w:t>
      </w:r>
      <w:r>
        <w:rPr>
          <w:i/>
          <w:iCs/>
          <w:spacing w:val="-15"/>
          <w:sz w:val="24"/>
          <w:szCs w:val="24"/>
        </w:rPr>
        <w:t xml:space="preserve"> </w:t>
      </w:r>
      <w:r>
        <w:rPr>
          <w:i/>
          <w:iCs/>
          <w:sz w:val="24"/>
          <w:szCs w:val="24"/>
        </w:rPr>
        <w:t>of</w:t>
      </w:r>
      <w:r>
        <w:rPr>
          <w:i/>
          <w:iCs/>
          <w:spacing w:val="-15"/>
          <w:sz w:val="24"/>
          <w:szCs w:val="24"/>
        </w:rPr>
        <w:t xml:space="preserve"> </w:t>
      </w:r>
      <w:r>
        <w:rPr>
          <w:i/>
          <w:iCs/>
          <w:sz w:val="24"/>
          <w:szCs w:val="24"/>
        </w:rPr>
        <w:t>the</w:t>
      </w:r>
      <w:r>
        <w:rPr>
          <w:i/>
          <w:iCs/>
          <w:spacing w:val="-15"/>
          <w:sz w:val="24"/>
          <w:szCs w:val="24"/>
        </w:rPr>
        <w:t xml:space="preserve"> </w:t>
      </w:r>
      <w:r>
        <w:rPr>
          <w:i/>
          <w:iCs/>
          <w:sz w:val="24"/>
          <w:szCs w:val="24"/>
        </w:rPr>
        <w:t>control</w:t>
      </w:r>
      <w:r>
        <w:rPr>
          <w:i/>
          <w:iCs/>
          <w:spacing w:val="-13"/>
          <w:sz w:val="24"/>
          <w:szCs w:val="24"/>
        </w:rPr>
        <w:t xml:space="preserve"> </w:t>
      </w:r>
      <w:r>
        <w:rPr>
          <w:i/>
          <w:iCs/>
          <w:sz w:val="24"/>
          <w:szCs w:val="24"/>
        </w:rPr>
        <w:t>class</w:t>
      </w:r>
      <w:r>
        <w:rPr>
          <w:i/>
          <w:iCs/>
          <w:spacing w:val="-14"/>
          <w:sz w:val="24"/>
          <w:szCs w:val="24"/>
        </w:rPr>
        <w:t xml:space="preserve"> </w:t>
      </w:r>
      <w:r>
        <w:rPr>
          <w:i/>
          <w:iCs/>
          <w:sz w:val="24"/>
          <w:szCs w:val="24"/>
        </w:rPr>
        <w:t>was</w:t>
      </w:r>
      <w:r>
        <w:rPr>
          <w:i/>
          <w:iCs/>
          <w:spacing w:val="-15"/>
          <w:sz w:val="24"/>
          <w:szCs w:val="24"/>
        </w:rPr>
        <w:t xml:space="preserve"> </w:t>
      </w:r>
      <w:r>
        <w:rPr>
          <w:i/>
          <w:iCs/>
          <w:sz w:val="24"/>
          <w:szCs w:val="24"/>
        </w:rPr>
        <w:t>77.14,</w:t>
      </w:r>
      <w:r>
        <w:rPr>
          <w:i/>
          <w:iCs/>
          <w:spacing w:val="-15"/>
          <w:sz w:val="24"/>
          <w:szCs w:val="24"/>
        </w:rPr>
        <w:t xml:space="preserve"> </w:t>
      </w:r>
      <w:r>
        <w:rPr>
          <w:i/>
          <w:iCs/>
          <w:sz w:val="24"/>
          <w:szCs w:val="24"/>
        </w:rPr>
        <w:t>whereas</w:t>
      </w:r>
      <w:r>
        <w:rPr>
          <w:i/>
          <w:iCs/>
          <w:spacing w:val="-12"/>
          <w:sz w:val="24"/>
          <w:szCs w:val="24"/>
        </w:rPr>
        <w:t xml:space="preserve"> </w:t>
      </w:r>
      <w:r>
        <w:rPr>
          <w:i/>
          <w:iCs/>
          <w:sz w:val="24"/>
          <w:szCs w:val="24"/>
        </w:rPr>
        <w:t>the</w:t>
      </w:r>
      <w:r>
        <w:rPr>
          <w:i/>
          <w:iCs/>
          <w:spacing w:val="-15"/>
          <w:sz w:val="24"/>
          <w:szCs w:val="24"/>
        </w:rPr>
        <w:t xml:space="preserve"> </w:t>
      </w:r>
      <w:r>
        <w:rPr>
          <w:i/>
          <w:iCs/>
          <w:sz w:val="24"/>
          <w:szCs w:val="24"/>
        </w:rPr>
        <w:t>experimental</w:t>
      </w:r>
      <w:r>
        <w:rPr>
          <w:i/>
          <w:iCs/>
          <w:spacing w:val="-14"/>
          <w:sz w:val="24"/>
          <w:szCs w:val="24"/>
        </w:rPr>
        <w:t xml:space="preserve"> </w:t>
      </w:r>
      <w:r>
        <w:rPr>
          <w:i/>
          <w:iCs/>
          <w:sz w:val="24"/>
          <w:szCs w:val="24"/>
        </w:rPr>
        <w:t>class</w:t>
      </w:r>
      <w:r>
        <w:rPr>
          <w:i/>
          <w:iCs/>
          <w:spacing w:val="-14"/>
          <w:sz w:val="24"/>
          <w:szCs w:val="24"/>
        </w:rPr>
        <w:t xml:space="preserve"> </w:t>
      </w:r>
      <w:r>
        <w:rPr>
          <w:i/>
          <w:iCs/>
          <w:sz w:val="24"/>
          <w:szCs w:val="24"/>
        </w:rPr>
        <w:t>achieved a mean score of 92.00. The results of the t-test showed that the calculated t-value (tₕᵢₜᵤₙg = 3.49) was greater than the t-table value (tₜₐᵦₗₑ = 2.03). Since tₕᵢₜᵤₙg &gt; tₜₐᵦₗₑ, the alternative hypothesis (Ha) was accepted, indicating that the use of multiplication</w:t>
      </w:r>
      <w:r>
        <w:rPr>
          <w:i/>
          <w:iCs/>
          <w:spacing w:val="-15"/>
          <w:sz w:val="24"/>
          <w:szCs w:val="24"/>
        </w:rPr>
        <w:t xml:space="preserve"> </w:t>
      </w:r>
      <w:r>
        <w:rPr>
          <w:i/>
          <w:iCs/>
          <w:sz w:val="24"/>
          <w:szCs w:val="24"/>
        </w:rPr>
        <w:t>board</w:t>
      </w:r>
      <w:r>
        <w:rPr>
          <w:i/>
          <w:iCs/>
          <w:spacing w:val="-15"/>
          <w:sz w:val="24"/>
          <w:szCs w:val="24"/>
        </w:rPr>
        <w:t xml:space="preserve"> </w:t>
      </w:r>
      <w:r>
        <w:rPr>
          <w:i/>
          <w:iCs/>
          <w:sz w:val="24"/>
          <w:szCs w:val="24"/>
        </w:rPr>
        <w:t>media</w:t>
      </w:r>
      <w:r>
        <w:rPr>
          <w:i/>
          <w:iCs/>
          <w:spacing w:val="-15"/>
          <w:sz w:val="24"/>
          <w:szCs w:val="24"/>
        </w:rPr>
        <w:t xml:space="preserve"> </w:t>
      </w:r>
      <w:r>
        <w:rPr>
          <w:i/>
          <w:iCs/>
          <w:sz w:val="24"/>
          <w:szCs w:val="24"/>
        </w:rPr>
        <w:t>had</w:t>
      </w:r>
      <w:r>
        <w:rPr>
          <w:i/>
          <w:iCs/>
          <w:spacing w:val="-8"/>
          <w:sz w:val="24"/>
          <w:szCs w:val="24"/>
        </w:rPr>
        <w:t xml:space="preserve"> </w:t>
      </w:r>
      <w:r>
        <w:rPr>
          <w:i/>
          <w:iCs/>
          <w:sz w:val="24"/>
          <w:szCs w:val="24"/>
        </w:rPr>
        <w:t>a</w:t>
      </w:r>
      <w:r>
        <w:rPr>
          <w:i/>
          <w:iCs/>
          <w:spacing w:val="-9"/>
          <w:sz w:val="24"/>
          <w:szCs w:val="24"/>
        </w:rPr>
        <w:t xml:space="preserve"> </w:t>
      </w:r>
      <w:r>
        <w:rPr>
          <w:i/>
          <w:iCs/>
          <w:sz w:val="24"/>
          <w:szCs w:val="24"/>
        </w:rPr>
        <w:t>significant</w:t>
      </w:r>
      <w:r>
        <w:rPr>
          <w:i/>
          <w:iCs/>
          <w:spacing w:val="-9"/>
          <w:sz w:val="24"/>
          <w:szCs w:val="24"/>
        </w:rPr>
        <w:t xml:space="preserve"> </w:t>
      </w:r>
      <w:r>
        <w:rPr>
          <w:i/>
          <w:iCs/>
          <w:sz w:val="24"/>
          <w:szCs w:val="24"/>
        </w:rPr>
        <w:t>effect</w:t>
      </w:r>
      <w:r>
        <w:rPr>
          <w:i/>
          <w:iCs/>
          <w:spacing w:val="-9"/>
          <w:sz w:val="24"/>
          <w:szCs w:val="24"/>
        </w:rPr>
        <w:t xml:space="preserve"> </w:t>
      </w:r>
      <w:r>
        <w:rPr>
          <w:i/>
          <w:iCs/>
          <w:sz w:val="24"/>
          <w:szCs w:val="24"/>
        </w:rPr>
        <w:t>on</w:t>
      </w:r>
      <w:r>
        <w:rPr>
          <w:i/>
          <w:iCs/>
          <w:spacing w:val="-9"/>
          <w:sz w:val="24"/>
          <w:szCs w:val="24"/>
        </w:rPr>
        <w:t xml:space="preserve"> </w:t>
      </w:r>
      <w:r>
        <w:rPr>
          <w:i/>
          <w:iCs/>
          <w:sz w:val="24"/>
          <w:szCs w:val="24"/>
        </w:rPr>
        <w:t>students’</w:t>
      </w:r>
      <w:r>
        <w:rPr>
          <w:i/>
          <w:iCs/>
          <w:spacing w:val="-15"/>
          <w:sz w:val="24"/>
          <w:szCs w:val="24"/>
        </w:rPr>
        <w:t xml:space="preserve"> </w:t>
      </w:r>
      <w:r>
        <w:rPr>
          <w:i/>
          <w:iCs/>
          <w:sz w:val="24"/>
          <w:szCs w:val="24"/>
        </w:rPr>
        <w:t>learning</w:t>
      </w:r>
      <w:r>
        <w:rPr>
          <w:i/>
          <w:iCs/>
          <w:spacing w:val="-9"/>
          <w:sz w:val="24"/>
          <w:szCs w:val="24"/>
        </w:rPr>
        <w:t xml:space="preserve"> </w:t>
      </w:r>
      <w:r>
        <w:rPr>
          <w:i/>
          <w:iCs/>
          <w:sz w:val="24"/>
          <w:szCs w:val="24"/>
        </w:rPr>
        <w:t>outcomes. Thus, it can be concluded that the use of multiplication board media improves the mathematics</w:t>
      </w:r>
      <w:r>
        <w:rPr>
          <w:i/>
          <w:iCs/>
          <w:spacing w:val="-4"/>
          <w:sz w:val="24"/>
          <w:szCs w:val="24"/>
        </w:rPr>
        <w:t xml:space="preserve"> </w:t>
      </w:r>
      <w:r>
        <w:rPr>
          <w:i/>
          <w:iCs/>
          <w:sz w:val="24"/>
          <w:szCs w:val="24"/>
        </w:rPr>
        <w:t>learning</w:t>
      </w:r>
      <w:r>
        <w:rPr>
          <w:i/>
          <w:iCs/>
          <w:spacing w:val="-3"/>
          <w:sz w:val="24"/>
          <w:szCs w:val="24"/>
        </w:rPr>
        <w:t xml:space="preserve"> </w:t>
      </w:r>
      <w:r>
        <w:rPr>
          <w:i/>
          <w:iCs/>
          <w:sz w:val="24"/>
          <w:szCs w:val="24"/>
        </w:rPr>
        <w:t>outcomes</w:t>
      </w:r>
      <w:r>
        <w:rPr>
          <w:i/>
          <w:iCs/>
          <w:spacing w:val="-3"/>
          <w:sz w:val="24"/>
          <w:szCs w:val="24"/>
        </w:rPr>
        <w:t xml:space="preserve"> </w:t>
      </w:r>
      <w:r>
        <w:rPr>
          <w:i/>
          <w:iCs/>
          <w:sz w:val="24"/>
          <w:szCs w:val="24"/>
        </w:rPr>
        <w:t>of</w:t>
      </w:r>
      <w:r>
        <w:rPr>
          <w:i/>
          <w:iCs/>
          <w:spacing w:val="-3"/>
          <w:sz w:val="24"/>
          <w:szCs w:val="24"/>
        </w:rPr>
        <w:t xml:space="preserve"> </w:t>
      </w:r>
      <w:r>
        <w:rPr>
          <w:i/>
          <w:iCs/>
          <w:sz w:val="24"/>
          <w:szCs w:val="24"/>
        </w:rPr>
        <w:t>third-grade</w:t>
      </w:r>
      <w:r>
        <w:rPr>
          <w:i/>
          <w:iCs/>
          <w:spacing w:val="-4"/>
          <w:sz w:val="24"/>
          <w:szCs w:val="24"/>
        </w:rPr>
        <w:t xml:space="preserve"> </w:t>
      </w:r>
      <w:r>
        <w:rPr>
          <w:i/>
          <w:iCs/>
          <w:sz w:val="24"/>
          <w:szCs w:val="24"/>
        </w:rPr>
        <w:t>students</w:t>
      </w:r>
      <w:r>
        <w:rPr>
          <w:i/>
          <w:iCs/>
          <w:spacing w:val="-2"/>
          <w:sz w:val="24"/>
          <w:szCs w:val="24"/>
        </w:rPr>
        <w:t xml:space="preserve"> </w:t>
      </w:r>
      <w:r>
        <w:rPr>
          <w:i/>
          <w:iCs/>
          <w:sz w:val="24"/>
          <w:szCs w:val="24"/>
        </w:rPr>
        <w:t>at</w:t>
      </w:r>
      <w:r>
        <w:rPr>
          <w:i/>
          <w:iCs/>
          <w:spacing w:val="-3"/>
          <w:sz w:val="24"/>
          <w:szCs w:val="24"/>
        </w:rPr>
        <w:t xml:space="preserve"> </w:t>
      </w:r>
      <w:r>
        <w:rPr>
          <w:i/>
          <w:iCs/>
          <w:sz w:val="24"/>
          <w:szCs w:val="24"/>
        </w:rPr>
        <w:t>SD</w:t>
      </w:r>
      <w:r>
        <w:rPr>
          <w:i/>
          <w:iCs/>
          <w:spacing w:val="-4"/>
          <w:sz w:val="24"/>
          <w:szCs w:val="24"/>
        </w:rPr>
        <w:t xml:space="preserve"> </w:t>
      </w:r>
      <w:r>
        <w:rPr>
          <w:i/>
          <w:iCs/>
          <w:sz w:val="24"/>
          <w:szCs w:val="24"/>
        </w:rPr>
        <w:t>Negeri</w:t>
      </w:r>
      <w:r>
        <w:rPr>
          <w:i/>
          <w:iCs/>
          <w:spacing w:val="-3"/>
          <w:sz w:val="24"/>
          <w:szCs w:val="24"/>
        </w:rPr>
        <w:t xml:space="preserve"> </w:t>
      </w:r>
      <w:r>
        <w:rPr>
          <w:i/>
          <w:iCs/>
          <w:sz w:val="24"/>
          <w:szCs w:val="24"/>
        </w:rPr>
        <w:t>053963</w:t>
      </w:r>
      <w:r>
        <w:rPr>
          <w:i/>
          <w:iCs/>
          <w:spacing w:val="-3"/>
          <w:sz w:val="24"/>
          <w:szCs w:val="24"/>
        </w:rPr>
        <w:t xml:space="preserve"> </w:t>
      </w:r>
      <w:r>
        <w:rPr>
          <w:i/>
          <w:iCs/>
          <w:sz w:val="24"/>
          <w:szCs w:val="24"/>
        </w:rPr>
        <w:t>Raja Tengah in the 2025/2026 academic year.</w:t>
      </w:r>
    </w:p>
    <w:p w14:paraId="687C2342">
      <w:pPr>
        <w:ind w:left="1081" w:leftChars="-4" w:right="3" w:hanging="1090" w:hangingChars="454"/>
        <w:rPr>
          <w:b/>
          <w:i/>
          <w:sz w:val="24"/>
        </w:rPr>
      </w:pPr>
      <w:r>
        <w:rPr>
          <w:b/>
          <w:i/>
          <w:sz w:val="24"/>
        </w:rPr>
        <w:t>Keywords:</w:t>
      </w:r>
      <w:r>
        <w:rPr>
          <w:b/>
          <w:i/>
          <w:spacing w:val="-6"/>
          <w:sz w:val="24"/>
        </w:rPr>
        <w:t xml:space="preserve"> </w:t>
      </w:r>
      <w:r>
        <w:rPr>
          <w:b/>
          <w:i/>
          <w:sz w:val="24"/>
        </w:rPr>
        <w:t>Multiplication</w:t>
      </w:r>
      <w:r>
        <w:rPr>
          <w:b/>
          <w:i/>
          <w:spacing w:val="-4"/>
          <w:sz w:val="24"/>
        </w:rPr>
        <w:t xml:space="preserve"> </w:t>
      </w:r>
      <w:r>
        <w:rPr>
          <w:b/>
          <w:i/>
          <w:sz w:val="24"/>
        </w:rPr>
        <w:t>Board</w:t>
      </w:r>
      <w:r>
        <w:rPr>
          <w:b/>
          <w:i/>
          <w:spacing w:val="-6"/>
          <w:sz w:val="24"/>
        </w:rPr>
        <w:t xml:space="preserve"> </w:t>
      </w:r>
      <w:r>
        <w:rPr>
          <w:b/>
          <w:i/>
          <w:sz w:val="24"/>
        </w:rPr>
        <w:t>Media,</w:t>
      </w:r>
      <w:r>
        <w:rPr>
          <w:b/>
          <w:i/>
          <w:spacing w:val="-6"/>
          <w:sz w:val="24"/>
        </w:rPr>
        <w:t xml:space="preserve"> </w:t>
      </w:r>
      <w:r>
        <w:rPr>
          <w:b/>
          <w:i/>
          <w:sz w:val="24"/>
        </w:rPr>
        <w:t>Learning</w:t>
      </w:r>
      <w:r>
        <w:rPr>
          <w:b/>
          <w:i/>
          <w:spacing w:val="-6"/>
          <w:sz w:val="24"/>
        </w:rPr>
        <w:t xml:space="preserve"> </w:t>
      </w:r>
      <w:r>
        <w:rPr>
          <w:b/>
          <w:i/>
          <w:sz w:val="24"/>
        </w:rPr>
        <w:t>Outcomes,</w:t>
      </w:r>
      <w:r>
        <w:rPr>
          <w:b/>
          <w:i/>
          <w:spacing w:val="-6"/>
          <w:sz w:val="24"/>
        </w:rPr>
        <w:t xml:space="preserve"> </w:t>
      </w:r>
      <w:r>
        <w:rPr>
          <w:b/>
          <w:i/>
          <w:sz w:val="24"/>
        </w:rPr>
        <w:t>Elementary School Mathematics</w:t>
      </w:r>
    </w:p>
    <w:p w14:paraId="104165AE">
      <w:pPr>
        <w:ind w:left="1081" w:leftChars="-4" w:right="3" w:hanging="1090" w:hangingChars="454"/>
        <w:rPr>
          <w:b/>
          <w:i/>
          <w:sz w:val="24"/>
        </w:rPr>
      </w:pPr>
    </w:p>
    <w:p w14:paraId="521263A9">
      <w:pPr>
        <w:pStyle w:val="5"/>
        <w:ind w:left="0" w:right="1936"/>
      </w:pPr>
      <w:r>
        <w:rPr>
          <w:spacing w:val="-2"/>
        </w:rPr>
        <w:t>PENDAHULUAN</w:t>
      </w:r>
    </w:p>
    <w:p w14:paraId="7CAADC20">
      <w:pPr>
        <w:pStyle w:val="10"/>
        <w:spacing w:before="139" w:line="360" w:lineRule="auto"/>
        <w:ind w:right="281" w:firstLine="709"/>
        <w:jc w:val="both"/>
      </w:pPr>
      <w:r>
        <w:t>Pendidikan merupakan suatu upaya dasar untuk membantu jiwa peserta didik baik lahir maupun batin dari sifat kodrati menuju peradaban manusiawi Sujana</w:t>
      </w:r>
      <w:r>
        <w:rPr>
          <w:spacing w:val="-14"/>
        </w:rPr>
        <w:t xml:space="preserve"> </w:t>
      </w:r>
      <w:r>
        <w:t>(2019:29).</w:t>
      </w:r>
      <w:r>
        <w:rPr>
          <w:spacing w:val="-13"/>
        </w:rPr>
        <w:t xml:space="preserve"> </w:t>
      </w:r>
      <w:r>
        <w:t>Pendidikan</w:t>
      </w:r>
      <w:r>
        <w:rPr>
          <w:spacing w:val="-14"/>
        </w:rPr>
        <w:t xml:space="preserve"> </w:t>
      </w:r>
      <w:r>
        <w:t>adalah</w:t>
      </w:r>
      <w:r>
        <w:rPr>
          <w:spacing w:val="-14"/>
        </w:rPr>
        <w:t xml:space="preserve"> </w:t>
      </w:r>
      <w:r>
        <w:t>kunci</w:t>
      </w:r>
      <w:r>
        <w:rPr>
          <w:spacing w:val="-13"/>
        </w:rPr>
        <w:t xml:space="preserve"> </w:t>
      </w:r>
      <w:r>
        <w:t>utama</w:t>
      </w:r>
      <w:r>
        <w:rPr>
          <w:spacing w:val="-12"/>
        </w:rPr>
        <w:t xml:space="preserve"> </w:t>
      </w:r>
      <w:r>
        <w:t>yang</w:t>
      </w:r>
      <w:r>
        <w:rPr>
          <w:spacing w:val="-13"/>
        </w:rPr>
        <w:t xml:space="preserve"> </w:t>
      </w:r>
      <w:r>
        <w:t>dapat</w:t>
      </w:r>
      <w:r>
        <w:rPr>
          <w:spacing w:val="-13"/>
        </w:rPr>
        <w:t xml:space="preserve"> </w:t>
      </w:r>
      <w:r>
        <w:t>membangun</w:t>
      </w:r>
      <w:r>
        <w:rPr>
          <w:spacing w:val="-13"/>
        </w:rPr>
        <w:t xml:space="preserve"> </w:t>
      </w:r>
      <w:r>
        <w:t>generasi muda bangsa indonesia yang berkarakter,cerdas,dan berdaya saing yang dapat menghadapi tantangan global dimasa depan. Pendidikan merupakan upaya pelatihan pendewasaan diri baik secara individu maupun kelompok yang merupakan bimbingan terstruktur untuk mengubah perilaku seseorang menjadi lebih baik. Pendidikan berperan dalam peningkatan mutu manusia yang baik. Pendidikan juga sangat berperan penting dalam</w:t>
      </w:r>
      <w:r>
        <w:rPr>
          <w:spacing w:val="-13"/>
        </w:rPr>
        <w:t xml:space="preserve"> </w:t>
      </w:r>
      <w:r>
        <w:t>mempersiapkan</w:t>
      </w:r>
      <w:r>
        <w:rPr>
          <w:spacing w:val="-13"/>
        </w:rPr>
        <w:t xml:space="preserve"> </w:t>
      </w:r>
      <w:r>
        <w:t>siswa</w:t>
      </w:r>
      <w:r>
        <w:rPr>
          <w:spacing w:val="-14"/>
        </w:rPr>
        <w:t xml:space="preserve"> </w:t>
      </w:r>
      <w:r>
        <w:t>dalam</w:t>
      </w:r>
      <w:r>
        <w:rPr>
          <w:spacing w:val="-13"/>
        </w:rPr>
        <w:t xml:space="preserve"> </w:t>
      </w:r>
      <w:r>
        <w:t>melanjutkan</w:t>
      </w:r>
      <w:r>
        <w:rPr>
          <w:spacing w:val="-14"/>
        </w:rPr>
        <w:t xml:space="preserve"> </w:t>
      </w:r>
      <w:r>
        <w:t>pendidikan</w:t>
      </w:r>
      <w:r>
        <w:rPr>
          <w:spacing w:val="-13"/>
        </w:rPr>
        <w:t xml:space="preserve"> </w:t>
      </w:r>
      <w:r>
        <w:t>ke</w:t>
      </w:r>
      <w:r>
        <w:rPr>
          <w:spacing w:val="-14"/>
        </w:rPr>
        <w:t xml:space="preserve"> </w:t>
      </w:r>
      <w:r>
        <w:t>jenjang</w:t>
      </w:r>
      <w:r>
        <w:rPr>
          <w:spacing w:val="-14"/>
        </w:rPr>
        <w:t xml:space="preserve"> </w:t>
      </w:r>
      <w:r>
        <w:t>selanjutnya yang</w:t>
      </w:r>
      <w:r>
        <w:rPr>
          <w:spacing w:val="-15"/>
        </w:rPr>
        <w:t xml:space="preserve"> </w:t>
      </w:r>
      <w:r>
        <w:t>lebih</w:t>
      </w:r>
      <w:r>
        <w:rPr>
          <w:spacing w:val="-15"/>
        </w:rPr>
        <w:t xml:space="preserve"> </w:t>
      </w:r>
      <w:r>
        <w:t>tinggi.</w:t>
      </w:r>
      <w:r>
        <w:rPr>
          <w:spacing w:val="-15"/>
        </w:rPr>
        <w:t xml:space="preserve"> </w:t>
      </w:r>
      <w:r>
        <w:t>Oleh</w:t>
      </w:r>
      <w:r>
        <w:rPr>
          <w:spacing w:val="-15"/>
        </w:rPr>
        <w:t xml:space="preserve"> </w:t>
      </w:r>
      <w:r>
        <w:t>sebab</w:t>
      </w:r>
      <w:r>
        <w:rPr>
          <w:spacing w:val="-15"/>
        </w:rPr>
        <w:t xml:space="preserve"> </w:t>
      </w:r>
      <w:r>
        <w:t>itu</w:t>
      </w:r>
      <w:r>
        <w:rPr>
          <w:spacing w:val="-15"/>
        </w:rPr>
        <w:t xml:space="preserve"> </w:t>
      </w:r>
      <w:r>
        <w:t>Pendidikan</w:t>
      </w:r>
      <w:r>
        <w:rPr>
          <w:spacing w:val="-15"/>
        </w:rPr>
        <w:t xml:space="preserve"> </w:t>
      </w:r>
      <w:r>
        <w:t>sangat</w:t>
      </w:r>
      <w:r>
        <w:rPr>
          <w:spacing w:val="-15"/>
        </w:rPr>
        <w:t xml:space="preserve"> </w:t>
      </w:r>
      <w:r>
        <w:t>penting</w:t>
      </w:r>
      <w:r>
        <w:rPr>
          <w:spacing w:val="-15"/>
        </w:rPr>
        <w:t xml:space="preserve"> </w:t>
      </w:r>
      <w:r>
        <w:t>sehingga</w:t>
      </w:r>
      <w:r>
        <w:rPr>
          <w:spacing w:val="-15"/>
        </w:rPr>
        <w:t xml:space="preserve"> </w:t>
      </w:r>
      <w:r>
        <w:t>wajib</w:t>
      </w:r>
      <w:r>
        <w:rPr>
          <w:spacing w:val="-15"/>
        </w:rPr>
        <w:t xml:space="preserve"> </w:t>
      </w:r>
      <w:r>
        <w:t>dimiliki oleh setiap individual.</w:t>
      </w:r>
    </w:p>
    <w:p w14:paraId="298B7060">
      <w:pPr>
        <w:pStyle w:val="10"/>
        <w:spacing w:line="360" w:lineRule="auto"/>
        <w:ind w:right="281" w:firstLine="709"/>
        <w:jc w:val="both"/>
      </w:pPr>
      <w:r>
        <w:t>Pendidikan dapat terlaksana karena adanya kegiatan proses pembelajaran yang dibimbing oleh guru untuk melaksanakan proses belajar mengajar dikelas. Dalam kegiatan belajar mengajar, guru memegang peran yang sangat penting. Dalam</w:t>
      </w:r>
      <w:r>
        <w:rPr>
          <w:spacing w:val="-2"/>
        </w:rPr>
        <w:t xml:space="preserve"> </w:t>
      </w:r>
      <w:r>
        <w:t>meningkatkan</w:t>
      </w:r>
      <w:r>
        <w:rPr>
          <w:spacing w:val="-3"/>
        </w:rPr>
        <w:t xml:space="preserve"> </w:t>
      </w:r>
      <w:r>
        <w:t>hasil</w:t>
      </w:r>
      <w:r>
        <w:rPr>
          <w:spacing w:val="-2"/>
        </w:rPr>
        <w:t xml:space="preserve"> </w:t>
      </w:r>
      <w:r>
        <w:t>belajar</w:t>
      </w:r>
      <w:r>
        <w:rPr>
          <w:spacing w:val="-3"/>
        </w:rPr>
        <w:t xml:space="preserve"> </w:t>
      </w:r>
      <w:r>
        <w:t>siswa,</w:t>
      </w:r>
      <w:r>
        <w:rPr>
          <w:spacing w:val="-2"/>
        </w:rPr>
        <w:t xml:space="preserve"> </w:t>
      </w:r>
      <w:r>
        <w:t>sangat</w:t>
      </w:r>
      <w:r>
        <w:rPr>
          <w:spacing w:val="-2"/>
        </w:rPr>
        <w:t xml:space="preserve"> </w:t>
      </w:r>
      <w:r>
        <w:t>dibutuhkan</w:t>
      </w:r>
      <w:r>
        <w:rPr>
          <w:spacing w:val="-3"/>
        </w:rPr>
        <w:t xml:space="preserve"> </w:t>
      </w:r>
      <w:r>
        <w:t>kemampuan</w:t>
      </w:r>
      <w:r>
        <w:rPr>
          <w:spacing w:val="-2"/>
        </w:rPr>
        <w:t xml:space="preserve"> </w:t>
      </w:r>
      <w:r>
        <w:t>dari</w:t>
      </w:r>
      <w:r>
        <w:rPr>
          <w:spacing w:val="-3"/>
        </w:rPr>
        <w:t xml:space="preserve"> </w:t>
      </w:r>
      <w:r>
        <w:t>guru untuk mengelola proses belajar mengajar didalam kelas, salah satunya adalah bagaimana memilih model pembelajaran yang sesuai dengan materi yang akan disampaikan. Peran guru tidak hanya sekadar membantu siswa memperoleh berbagai</w:t>
      </w:r>
      <w:r>
        <w:rPr>
          <w:spacing w:val="-15"/>
        </w:rPr>
        <w:t xml:space="preserve"> </w:t>
      </w:r>
      <w:r>
        <w:t>pengetahuan</w:t>
      </w:r>
      <w:r>
        <w:rPr>
          <w:spacing w:val="-15"/>
        </w:rPr>
        <w:t xml:space="preserve"> </w:t>
      </w:r>
      <w:r>
        <w:t>dan</w:t>
      </w:r>
      <w:r>
        <w:rPr>
          <w:spacing w:val="-15"/>
        </w:rPr>
        <w:t xml:space="preserve"> </w:t>
      </w:r>
      <w:r>
        <w:t>keterampilan.</w:t>
      </w:r>
      <w:r>
        <w:rPr>
          <w:spacing w:val="-15"/>
        </w:rPr>
        <w:t xml:space="preserve"> </w:t>
      </w:r>
      <w:r>
        <w:t>Akan</w:t>
      </w:r>
      <w:r>
        <w:rPr>
          <w:spacing w:val="-15"/>
        </w:rPr>
        <w:t xml:space="preserve"> </w:t>
      </w:r>
      <w:r>
        <w:t>tetapi</w:t>
      </w:r>
      <w:r>
        <w:rPr>
          <w:spacing w:val="-13"/>
        </w:rPr>
        <w:t xml:space="preserve"> </w:t>
      </w:r>
      <w:r>
        <w:t>lebih</w:t>
      </w:r>
      <w:r>
        <w:rPr>
          <w:spacing w:val="-13"/>
        </w:rPr>
        <w:t xml:space="preserve"> </w:t>
      </w:r>
      <w:r>
        <w:t>dari</w:t>
      </w:r>
      <w:r>
        <w:rPr>
          <w:spacing w:val="-13"/>
        </w:rPr>
        <w:t xml:space="preserve"> </w:t>
      </w:r>
      <w:r>
        <w:t>itu,</w:t>
      </w:r>
      <w:r>
        <w:rPr>
          <w:spacing w:val="-13"/>
        </w:rPr>
        <w:t xml:space="preserve"> </w:t>
      </w:r>
      <w:r>
        <w:t>guru</w:t>
      </w:r>
      <w:r>
        <w:rPr>
          <w:spacing w:val="-14"/>
        </w:rPr>
        <w:t xml:space="preserve"> </w:t>
      </w:r>
      <w:r>
        <w:t>harus</w:t>
      </w:r>
      <w:r>
        <w:rPr>
          <w:spacing w:val="-14"/>
        </w:rPr>
        <w:t xml:space="preserve"> </w:t>
      </w:r>
      <w:r>
        <w:t>dapat mendorong siswa untuk dapat bekerja secara berkelompok dalam rangka menumbuhkan daya nalar, cara berpikir logis, sistematis, kreatif, cerdas, dan rasa ingin tahu dan dapat menciptakan suasana yang membuat aktif siswa di dalam proses pembelajaran.</w:t>
      </w:r>
    </w:p>
    <w:p w14:paraId="404A2C3B">
      <w:pPr>
        <w:pStyle w:val="10"/>
        <w:spacing w:line="360" w:lineRule="auto"/>
        <w:ind w:right="281" w:firstLine="709"/>
        <w:jc w:val="both"/>
      </w:pPr>
      <w:r>
        <w:t>Matematika merupakan ilmu yang mempelajari studi seperti bilangan, rumus, dan struktur terkait, bangun dan ruang tempat mereka berada, dan besaran serta perubahannya. Matematika berusaha mengajak meningkatkan pemahaman dan</w:t>
      </w:r>
      <w:r>
        <w:rPr>
          <w:spacing w:val="-15"/>
        </w:rPr>
        <w:t xml:space="preserve"> </w:t>
      </w:r>
      <w:r>
        <w:t>kecerdasan</w:t>
      </w:r>
      <w:r>
        <w:rPr>
          <w:spacing w:val="-15"/>
        </w:rPr>
        <w:t xml:space="preserve"> </w:t>
      </w:r>
      <w:r>
        <w:t>tentang</w:t>
      </w:r>
      <w:r>
        <w:rPr>
          <w:spacing w:val="-15"/>
        </w:rPr>
        <w:t xml:space="preserve"> </w:t>
      </w:r>
      <w:r>
        <w:t>penjumlahan.</w:t>
      </w:r>
      <w:r>
        <w:rPr>
          <w:spacing w:val="-15"/>
        </w:rPr>
        <w:t xml:space="preserve"> </w:t>
      </w:r>
      <w:r>
        <w:t>Di</w:t>
      </w:r>
      <w:r>
        <w:rPr>
          <w:spacing w:val="-15"/>
        </w:rPr>
        <w:t xml:space="preserve"> </w:t>
      </w:r>
      <w:r>
        <w:t>SD</w:t>
      </w:r>
      <w:r>
        <w:rPr>
          <w:spacing w:val="-15"/>
        </w:rPr>
        <w:t xml:space="preserve"> </w:t>
      </w:r>
      <w:r>
        <w:t>mata</w:t>
      </w:r>
      <w:r>
        <w:rPr>
          <w:spacing w:val="-15"/>
        </w:rPr>
        <w:t xml:space="preserve"> </w:t>
      </w:r>
      <w:r>
        <w:t>pelajaran</w:t>
      </w:r>
      <w:r>
        <w:rPr>
          <w:spacing w:val="-15"/>
        </w:rPr>
        <w:t xml:space="preserve"> </w:t>
      </w:r>
      <w:r>
        <w:t>Matematika</w:t>
      </w:r>
      <w:r>
        <w:rPr>
          <w:spacing w:val="-15"/>
        </w:rPr>
        <w:t xml:space="preserve"> </w:t>
      </w:r>
      <w:r>
        <w:t>merupakan salah satu mata pembelajaran yang sangat penting karena mata pembelajaran matematika</w:t>
      </w:r>
      <w:r>
        <w:rPr>
          <w:spacing w:val="-5"/>
        </w:rPr>
        <w:t xml:space="preserve"> </w:t>
      </w:r>
      <w:r>
        <w:t>berisi</w:t>
      </w:r>
      <w:r>
        <w:rPr>
          <w:spacing w:val="-5"/>
        </w:rPr>
        <w:t xml:space="preserve"> </w:t>
      </w:r>
      <w:r>
        <w:t>materi</w:t>
      </w:r>
      <w:r>
        <w:rPr>
          <w:spacing w:val="-3"/>
        </w:rPr>
        <w:t xml:space="preserve"> </w:t>
      </w:r>
      <w:r>
        <w:t>yang</w:t>
      </w:r>
      <w:r>
        <w:rPr>
          <w:spacing w:val="-5"/>
        </w:rPr>
        <w:t xml:space="preserve"> </w:t>
      </w:r>
      <w:r>
        <w:t>berhubungan</w:t>
      </w:r>
      <w:r>
        <w:rPr>
          <w:spacing w:val="-5"/>
        </w:rPr>
        <w:t xml:space="preserve"> </w:t>
      </w:r>
      <w:r>
        <w:t>dengan</w:t>
      </w:r>
      <w:r>
        <w:rPr>
          <w:spacing w:val="-5"/>
        </w:rPr>
        <w:t xml:space="preserve"> </w:t>
      </w:r>
      <w:r>
        <w:t>angka-angka</w:t>
      </w:r>
      <w:r>
        <w:rPr>
          <w:spacing w:val="-6"/>
        </w:rPr>
        <w:t xml:space="preserve"> </w:t>
      </w:r>
      <w:r>
        <w:t>dan</w:t>
      </w:r>
      <w:r>
        <w:rPr>
          <w:spacing w:val="-5"/>
        </w:rPr>
        <w:t xml:space="preserve"> </w:t>
      </w:r>
      <w:r>
        <w:t>perhitungan. Pembelajaran matematika seorang guru dituntut untuk pandai dalam menyampaikan materi dan harus membuat metode atau variasi belajara yang di sampaikan</w:t>
      </w:r>
      <w:r>
        <w:rPr>
          <w:spacing w:val="-15"/>
        </w:rPr>
        <w:t xml:space="preserve"> </w:t>
      </w:r>
      <w:r>
        <w:t>dan</w:t>
      </w:r>
      <w:r>
        <w:rPr>
          <w:spacing w:val="-15"/>
        </w:rPr>
        <w:t xml:space="preserve"> </w:t>
      </w:r>
      <w:r>
        <w:t>siswa</w:t>
      </w:r>
      <w:r>
        <w:rPr>
          <w:spacing w:val="-15"/>
        </w:rPr>
        <w:t xml:space="preserve"> </w:t>
      </w:r>
      <w:r>
        <w:t>tidak</w:t>
      </w:r>
      <w:r>
        <w:rPr>
          <w:spacing w:val="-15"/>
        </w:rPr>
        <w:t xml:space="preserve"> </w:t>
      </w:r>
      <w:r>
        <w:t>akan</w:t>
      </w:r>
      <w:r>
        <w:rPr>
          <w:spacing w:val="-15"/>
        </w:rPr>
        <w:t xml:space="preserve"> </w:t>
      </w:r>
      <w:r>
        <w:t>merasa</w:t>
      </w:r>
      <w:r>
        <w:rPr>
          <w:spacing w:val="-15"/>
        </w:rPr>
        <w:t xml:space="preserve"> </w:t>
      </w:r>
      <w:r>
        <w:t>jenuh</w:t>
      </w:r>
      <w:r>
        <w:rPr>
          <w:spacing w:val="-15"/>
        </w:rPr>
        <w:t xml:space="preserve"> </w:t>
      </w:r>
      <w:r>
        <w:t>atau</w:t>
      </w:r>
      <w:r>
        <w:rPr>
          <w:spacing w:val="-14"/>
        </w:rPr>
        <w:t xml:space="preserve"> </w:t>
      </w:r>
      <w:r>
        <w:t>pun</w:t>
      </w:r>
      <w:r>
        <w:rPr>
          <w:spacing w:val="-15"/>
        </w:rPr>
        <w:t xml:space="preserve"> </w:t>
      </w:r>
      <w:r>
        <w:t>bosan</w:t>
      </w:r>
      <w:r>
        <w:rPr>
          <w:spacing w:val="-15"/>
        </w:rPr>
        <w:t xml:space="preserve"> </w:t>
      </w:r>
      <w:r>
        <w:t>terkhusus</w:t>
      </w:r>
      <w:r>
        <w:rPr>
          <w:spacing w:val="-15"/>
        </w:rPr>
        <w:t xml:space="preserve"> </w:t>
      </w:r>
      <w:r>
        <w:t>pada</w:t>
      </w:r>
      <w:r>
        <w:rPr>
          <w:spacing w:val="-14"/>
        </w:rPr>
        <w:t xml:space="preserve"> </w:t>
      </w:r>
      <w:r>
        <w:t>materi perkalian. Oleh karena itu pembelajaran matematika sangat penting diajarkan dalam pembelajaran di SD.</w:t>
      </w:r>
    </w:p>
    <w:p w14:paraId="22C454D4">
      <w:pPr>
        <w:pStyle w:val="10"/>
        <w:spacing w:line="360" w:lineRule="auto"/>
        <w:ind w:right="281" w:firstLine="709"/>
        <w:jc w:val="both"/>
      </w:pPr>
      <w:r>
        <w:t>Berdasarkan pengamatan yang dilakukan bersama guru kelas 3 di SD Negeri</w:t>
      </w:r>
      <w:r>
        <w:rPr>
          <w:spacing w:val="-9"/>
        </w:rPr>
        <w:t xml:space="preserve"> </w:t>
      </w:r>
      <w:r>
        <w:t>053963</w:t>
      </w:r>
      <w:r>
        <w:rPr>
          <w:spacing w:val="-8"/>
        </w:rPr>
        <w:t xml:space="preserve"> </w:t>
      </w:r>
      <w:r>
        <w:t>Raja</w:t>
      </w:r>
      <w:r>
        <w:rPr>
          <w:spacing w:val="-15"/>
        </w:rPr>
        <w:t xml:space="preserve"> </w:t>
      </w:r>
      <w:r>
        <w:t>Tengah,</w:t>
      </w:r>
      <w:r>
        <w:rPr>
          <w:spacing w:val="-9"/>
        </w:rPr>
        <w:t xml:space="preserve"> </w:t>
      </w:r>
      <w:r>
        <w:t>terlihat</w:t>
      </w:r>
      <w:r>
        <w:rPr>
          <w:spacing w:val="-9"/>
        </w:rPr>
        <w:t xml:space="preserve"> </w:t>
      </w:r>
      <w:r>
        <w:t>bahwa</w:t>
      </w:r>
      <w:r>
        <w:rPr>
          <w:spacing w:val="-11"/>
        </w:rPr>
        <w:t xml:space="preserve"> </w:t>
      </w:r>
      <w:r>
        <w:t>guru</w:t>
      </w:r>
      <w:r>
        <w:rPr>
          <w:spacing w:val="-10"/>
        </w:rPr>
        <w:t xml:space="preserve"> </w:t>
      </w:r>
      <w:r>
        <w:t>tidak</w:t>
      </w:r>
      <w:r>
        <w:rPr>
          <w:spacing w:val="-9"/>
        </w:rPr>
        <w:t xml:space="preserve"> </w:t>
      </w:r>
      <w:r>
        <w:t>selalu</w:t>
      </w:r>
      <w:r>
        <w:rPr>
          <w:spacing w:val="-9"/>
        </w:rPr>
        <w:t xml:space="preserve"> </w:t>
      </w:r>
      <w:r>
        <w:t>memanfaatkan</w:t>
      </w:r>
      <w:r>
        <w:rPr>
          <w:spacing w:val="-9"/>
        </w:rPr>
        <w:t xml:space="preserve"> </w:t>
      </w:r>
      <w:r>
        <w:t xml:space="preserve">media </w:t>
      </w:r>
      <w:r>
        <w:rPr>
          <w:spacing w:val="-2"/>
        </w:rPr>
        <w:t>pembelajaran untuk mendukung proses belajar, terutama</w:t>
      </w:r>
      <w:r>
        <w:rPr>
          <w:spacing w:val="-3"/>
        </w:rPr>
        <w:t xml:space="preserve"> </w:t>
      </w:r>
      <w:r>
        <w:rPr>
          <w:spacing w:val="-2"/>
        </w:rPr>
        <w:t xml:space="preserve">dalam pelajaran perkalian. </w:t>
      </w:r>
      <w:r>
        <w:t>Secara</w:t>
      </w:r>
      <w:r>
        <w:rPr>
          <w:spacing w:val="-15"/>
        </w:rPr>
        <w:t xml:space="preserve"> </w:t>
      </w:r>
      <w:r>
        <w:t>umum,</w:t>
      </w:r>
      <w:r>
        <w:rPr>
          <w:spacing w:val="-14"/>
        </w:rPr>
        <w:t xml:space="preserve"> </w:t>
      </w:r>
      <w:r>
        <w:t>guru</w:t>
      </w:r>
      <w:r>
        <w:rPr>
          <w:spacing w:val="-15"/>
        </w:rPr>
        <w:t xml:space="preserve"> </w:t>
      </w:r>
      <w:r>
        <w:t>menyampaikan</w:t>
      </w:r>
      <w:r>
        <w:rPr>
          <w:spacing w:val="-13"/>
        </w:rPr>
        <w:t xml:space="preserve"> </w:t>
      </w:r>
      <w:r>
        <w:t>pengetahuan</w:t>
      </w:r>
      <w:r>
        <w:rPr>
          <w:spacing w:val="-14"/>
        </w:rPr>
        <w:t xml:space="preserve"> </w:t>
      </w:r>
      <w:r>
        <w:t>menggunakan</w:t>
      </w:r>
      <w:r>
        <w:rPr>
          <w:spacing w:val="-14"/>
        </w:rPr>
        <w:t xml:space="preserve"> </w:t>
      </w:r>
      <w:r>
        <w:t>metode</w:t>
      </w:r>
      <w:r>
        <w:rPr>
          <w:spacing w:val="-15"/>
        </w:rPr>
        <w:t xml:space="preserve"> </w:t>
      </w:r>
      <w:r>
        <w:t>yang</w:t>
      </w:r>
      <w:r>
        <w:rPr>
          <w:spacing w:val="-12"/>
        </w:rPr>
        <w:t xml:space="preserve"> </w:t>
      </w:r>
      <w:r>
        <w:t>sudah ada</w:t>
      </w:r>
      <w:r>
        <w:rPr>
          <w:spacing w:val="-13"/>
        </w:rPr>
        <w:t xml:space="preserve"> </w:t>
      </w:r>
      <w:r>
        <w:t>tanpa</w:t>
      </w:r>
      <w:r>
        <w:rPr>
          <w:spacing w:val="-13"/>
        </w:rPr>
        <w:t xml:space="preserve"> </w:t>
      </w:r>
      <w:r>
        <w:t>melakukan</w:t>
      </w:r>
      <w:r>
        <w:rPr>
          <w:spacing w:val="-12"/>
        </w:rPr>
        <w:t xml:space="preserve"> </w:t>
      </w:r>
      <w:r>
        <w:t>inovasi.</w:t>
      </w:r>
      <w:r>
        <w:rPr>
          <w:spacing w:val="-11"/>
        </w:rPr>
        <w:t xml:space="preserve"> </w:t>
      </w:r>
      <w:r>
        <w:t>Fasilitas</w:t>
      </w:r>
      <w:r>
        <w:rPr>
          <w:spacing w:val="-12"/>
        </w:rPr>
        <w:t xml:space="preserve"> </w:t>
      </w:r>
      <w:r>
        <w:t>yang</w:t>
      </w:r>
      <w:r>
        <w:rPr>
          <w:spacing w:val="-12"/>
        </w:rPr>
        <w:t xml:space="preserve"> </w:t>
      </w:r>
      <w:r>
        <w:t>terbatas</w:t>
      </w:r>
      <w:r>
        <w:rPr>
          <w:spacing w:val="-12"/>
        </w:rPr>
        <w:t xml:space="preserve"> </w:t>
      </w:r>
      <w:r>
        <w:t>di</w:t>
      </w:r>
      <w:r>
        <w:rPr>
          <w:spacing w:val="-12"/>
        </w:rPr>
        <w:t xml:space="preserve"> </w:t>
      </w:r>
      <w:r>
        <w:t>sekolah</w:t>
      </w:r>
      <w:r>
        <w:rPr>
          <w:spacing w:val="-13"/>
        </w:rPr>
        <w:t xml:space="preserve"> </w:t>
      </w:r>
      <w:r>
        <w:t>juga</w:t>
      </w:r>
      <w:r>
        <w:rPr>
          <w:spacing w:val="-13"/>
        </w:rPr>
        <w:t xml:space="preserve"> </w:t>
      </w:r>
      <w:r>
        <w:t>memaksa</w:t>
      </w:r>
      <w:r>
        <w:rPr>
          <w:spacing w:val="-13"/>
        </w:rPr>
        <w:t xml:space="preserve"> </w:t>
      </w:r>
      <w:r>
        <w:t>guru untuk menyesuaikan metode pengajaran mereka. Akibatnya, materi yang disampaikan seringkali sulit dipahami oleh siswa. Banyak siswa merasa bahwa belajar matematika sangat menantang, rumit, dan dipenuhi dengan rumusrumus yang sulit dipahami, sehingga proses belajar terasa membosankan. Selain itu, selama pelajaran matematika, beberapa siswa masih kesulitan mengenali angka. Hal ini terlihat saat mengajarkan pengurangan dan penjumlahan, di mana mereka masih kesulitan membedakan satu angka dari angka lainnya, dan nilai ratarata mereka tetap di bawah standar. Hasil belajar siswa yang rendah disebabkan oleh kurangnya</w:t>
      </w:r>
      <w:r>
        <w:rPr>
          <w:spacing w:val="-3"/>
        </w:rPr>
        <w:t xml:space="preserve"> </w:t>
      </w:r>
      <w:r>
        <w:t>media</w:t>
      </w:r>
      <w:r>
        <w:rPr>
          <w:spacing w:val="-3"/>
        </w:rPr>
        <w:t xml:space="preserve"> </w:t>
      </w:r>
      <w:r>
        <w:t>atau</w:t>
      </w:r>
      <w:r>
        <w:rPr>
          <w:spacing w:val="-2"/>
        </w:rPr>
        <w:t xml:space="preserve"> </w:t>
      </w:r>
      <w:r>
        <w:t>metode</w:t>
      </w:r>
      <w:r>
        <w:rPr>
          <w:spacing w:val="-3"/>
        </w:rPr>
        <w:t xml:space="preserve"> </w:t>
      </w:r>
      <w:r>
        <w:t>pengajaran</w:t>
      </w:r>
      <w:r>
        <w:rPr>
          <w:spacing w:val="-2"/>
        </w:rPr>
        <w:t xml:space="preserve"> </w:t>
      </w:r>
      <w:r>
        <w:t>yang</w:t>
      </w:r>
      <w:r>
        <w:rPr>
          <w:spacing w:val="-2"/>
        </w:rPr>
        <w:t xml:space="preserve"> </w:t>
      </w:r>
      <w:r>
        <w:t>menarik</w:t>
      </w:r>
      <w:r>
        <w:rPr>
          <w:spacing w:val="-3"/>
        </w:rPr>
        <w:t xml:space="preserve"> </w:t>
      </w:r>
      <w:r>
        <w:t>yang</w:t>
      </w:r>
      <w:r>
        <w:rPr>
          <w:spacing w:val="-2"/>
        </w:rPr>
        <w:t xml:space="preserve"> </w:t>
      </w:r>
      <w:r>
        <w:t>dapat</w:t>
      </w:r>
      <w:r>
        <w:rPr>
          <w:spacing w:val="-2"/>
        </w:rPr>
        <w:t xml:space="preserve"> </w:t>
      </w:r>
      <w:r>
        <w:t>meningkatkan motivasi mereka selama proses belajar.</w:t>
      </w:r>
    </w:p>
    <w:p w14:paraId="722FBA41">
      <w:pPr>
        <w:pStyle w:val="10"/>
        <w:spacing w:line="360" w:lineRule="auto"/>
        <w:ind w:right="281" w:firstLine="709"/>
        <w:jc w:val="both"/>
      </w:pPr>
      <w:r>
        <w:t>Hasil</w:t>
      </w:r>
      <w:r>
        <w:rPr>
          <w:spacing w:val="-15"/>
        </w:rPr>
        <w:t xml:space="preserve"> </w:t>
      </w:r>
      <w:r>
        <w:t>belajar</w:t>
      </w:r>
      <w:r>
        <w:rPr>
          <w:spacing w:val="-15"/>
        </w:rPr>
        <w:t xml:space="preserve"> </w:t>
      </w:r>
      <w:r>
        <w:t>yang</w:t>
      </w:r>
      <w:r>
        <w:rPr>
          <w:spacing w:val="-15"/>
        </w:rPr>
        <w:t xml:space="preserve"> </w:t>
      </w:r>
      <w:r>
        <w:t>rendah ini menunjukkan bahwa pemahaman konseptual siswa perlu ditingkatkan, karena pemahaman konseptual merupakan salah satu tujuan utama dalam pendidikan matematika. Oleh karena itu, untuk meningkatkan hasil belajar yang kurang memuaskan,</w:t>
      </w:r>
      <w:r>
        <w:rPr>
          <w:spacing w:val="-12"/>
        </w:rPr>
        <w:t xml:space="preserve"> </w:t>
      </w:r>
      <w:r>
        <w:t>media</w:t>
      </w:r>
      <w:r>
        <w:rPr>
          <w:spacing w:val="-13"/>
        </w:rPr>
        <w:t xml:space="preserve"> </w:t>
      </w:r>
      <w:r>
        <w:t>pendidikan</w:t>
      </w:r>
      <w:r>
        <w:rPr>
          <w:spacing w:val="-12"/>
        </w:rPr>
        <w:t xml:space="preserve"> </w:t>
      </w:r>
      <w:r>
        <w:t>perlu</w:t>
      </w:r>
      <w:r>
        <w:rPr>
          <w:spacing w:val="-12"/>
        </w:rPr>
        <w:t xml:space="preserve"> </w:t>
      </w:r>
      <w:r>
        <w:t>diterapkan</w:t>
      </w:r>
      <w:r>
        <w:rPr>
          <w:spacing w:val="-12"/>
        </w:rPr>
        <w:t xml:space="preserve"> </w:t>
      </w:r>
      <w:r>
        <w:t>di</w:t>
      </w:r>
      <w:r>
        <w:rPr>
          <w:spacing w:val="-9"/>
        </w:rPr>
        <w:t xml:space="preserve"> </w:t>
      </w:r>
      <w:r>
        <w:t>kelas,</w:t>
      </w:r>
      <w:r>
        <w:rPr>
          <w:spacing w:val="-12"/>
        </w:rPr>
        <w:t xml:space="preserve"> </w:t>
      </w:r>
      <w:r>
        <w:t>khususnya</w:t>
      </w:r>
      <w:r>
        <w:rPr>
          <w:spacing w:val="-12"/>
        </w:rPr>
        <w:t xml:space="preserve"> </w:t>
      </w:r>
      <w:r>
        <w:t>menggunakan papan</w:t>
      </w:r>
      <w:r>
        <w:rPr>
          <w:spacing w:val="-13"/>
        </w:rPr>
        <w:t xml:space="preserve"> </w:t>
      </w:r>
      <w:r>
        <w:t>perkalian.</w:t>
      </w:r>
      <w:r>
        <w:rPr>
          <w:spacing w:val="-11"/>
        </w:rPr>
        <w:t xml:space="preserve"> </w:t>
      </w:r>
      <w:r>
        <w:t>Diharapkan</w:t>
      </w:r>
      <w:r>
        <w:rPr>
          <w:spacing w:val="-13"/>
        </w:rPr>
        <w:t xml:space="preserve"> </w:t>
      </w:r>
      <w:r>
        <w:t>media</w:t>
      </w:r>
      <w:r>
        <w:rPr>
          <w:spacing w:val="-14"/>
        </w:rPr>
        <w:t xml:space="preserve"> </w:t>
      </w:r>
      <w:r>
        <w:t>papan</w:t>
      </w:r>
      <w:r>
        <w:rPr>
          <w:spacing w:val="-11"/>
        </w:rPr>
        <w:t xml:space="preserve"> </w:t>
      </w:r>
      <w:r>
        <w:t>pintar</w:t>
      </w:r>
      <w:r>
        <w:rPr>
          <w:spacing w:val="-14"/>
        </w:rPr>
        <w:t xml:space="preserve"> </w:t>
      </w:r>
      <w:r>
        <w:t>ini</w:t>
      </w:r>
      <w:r>
        <w:rPr>
          <w:spacing w:val="-13"/>
        </w:rPr>
        <w:t xml:space="preserve"> </w:t>
      </w:r>
      <w:r>
        <w:t>dapat</w:t>
      </w:r>
      <w:r>
        <w:rPr>
          <w:spacing w:val="-13"/>
        </w:rPr>
        <w:t xml:space="preserve"> </w:t>
      </w:r>
      <w:r>
        <w:t>berfungsi</w:t>
      </w:r>
      <w:r>
        <w:rPr>
          <w:spacing w:val="-13"/>
        </w:rPr>
        <w:t xml:space="preserve"> </w:t>
      </w:r>
      <w:r>
        <w:t>sebagai</w:t>
      </w:r>
      <w:r>
        <w:rPr>
          <w:spacing w:val="-13"/>
        </w:rPr>
        <w:t xml:space="preserve"> </w:t>
      </w:r>
      <w:r>
        <w:t>sarana penyampaian informasi spesifik selama proses belajar. Media ini juga dapat mendukung pembelajaran tentang angka, huruf, gambar, simbol, serta materi pengurangan dan penjumlahan dalam matematika. Tujuan penggunaan media pembelajaran di kelas adalah untuk memastikan bahwa siswa menemukan materi yang diajarkan oleh guru menarik dan mudah dipahami.</w:t>
      </w:r>
    </w:p>
    <w:p w14:paraId="4935CBE0">
      <w:pPr>
        <w:pStyle w:val="10"/>
        <w:spacing w:line="360" w:lineRule="auto"/>
        <w:ind w:right="281" w:firstLine="709"/>
        <w:jc w:val="both"/>
      </w:pPr>
      <w:r>
        <w:t>Berdasarkan latar belakang tersebut,peneliti tertarik untuk melakukan penelitian dengan judul “Pengaruh Media Papan Perkalian Terhadap Hasil Belajar Siswa Pada Mata Pelajaran Matematika Di Kelas III SD Negeri 053963 Raja Tengah Tahun Pelajaran 2025/2026”</w:t>
      </w:r>
    </w:p>
    <w:p w14:paraId="216E5CBF">
      <w:pPr>
        <w:spacing w:before="218"/>
        <w:rPr>
          <w:b/>
          <w:sz w:val="24"/>
        </w:rPr>
      </w:pPr>
      <w:r>
        <w:rPr>
          <w:b/>
          <w:sz w:val="24"/>
        </w:rPr>
        <w:t>METODE</w:t>
      </w:r>
      <w:r>
        <w:rPr>
          <w:b/>
          <w:spacing w:val="-11"/>
          <w:sz w:val="24"/>
        </w:rPr>
        <w:t xml:space="preserve"> </w:t>
      </w:r>
      <w:r>
        <w:rPr>
          <w:b/>
          <w:spacing w:val="-2"/>
          <w:sz w:val="24"/>
        </w:rPr>
        <w:t>PENELITIAN</w:t>
      </w:r>
    </w:p>
    <w:p w14:paraId="1A1B77F3">
      <w:pPr>
        <w:pStyle w:val="10"/>
        <w:spacing w:line="360" w:lineRule="auto"/>
        <w:ind w:right="278" w:firstLine="709"/>
        <w:jc w:val="both"/>
      </w:pPr>
      <w:r>
        <w:t xml:space="preserve">Jenis penelitian yang digunakan adalah quasi eksperimen, yaitu penelitian yang bertujuan untuk mengetahui pengaruh suatu perlakuan terhadap variabel tertentu dengan melibatkan kelompok eksperimen dan kelompok kontrol tanpa pengacakan subjek secara penuh. Desain penelitian ini menggunakan </w:t>
      </w:r>
      <w:r>
        <w:rPr>
          <w:i/>
        </w:rPr>
        <w:t xml:space="preserve">Non Equivalent Control Group Design </w:t>
      </w:r>
      <w:r>
        <w:t xml:space="preserve">Dimana menurut Sugiyono (2023:120) menyatakan </w:t>
      </w:r>
      <w:r>
        <w:rPr>
          <w:i/>
        </w:rPr>
        <w:t xml:space="preserve">Non Equivalent Control Group Design </w:t>
      </w:r>
      <w:r>
        <w:t>ialah menggunakan dua kelompok (kelas eksperimen dan kelas kontrol). Namun kelas kontrol tidak di berikan</w:t>
      </w:r>
      <w:r>
        <w:rPr>
          <w:spacing w:val="-2"/>
        </w:rPr>
        <w:t xml:space="preserve"> </w:t>
      </w:r>
      <w:r>
        <w:t>perlakuan</w:t>
      </w:r>
      <w:r>
        <w:rPr>
          <w:spacing w:val="-2"/>
        </w:rPr>
        <w:t xml:space="preserve"> </w:t>
      </w:r>
      <w:r>
        <w:t>hanya menerapkan</w:t>
      </w:r>
      <w:r>
        <w:rPr>
          <w:spacing w:val="-2"/>
        </w:rPr>
        <w:t xml:space="preserve"> </w:t>
      </w:r>
      <w:r>
        <w:t>pembelajaran</w:t>
      </w:r>
      <w:r>
        <w:rPr>
          <w:spacing w:val="-2"/>
        </w:rPr>
        <w:t xml:space="preserve"> </w:t>
      </w:r>
      <w:r>
        <w:t>konvensional sedangkan</w:t>
      </w:r>
      <w:r>
        <w:rPr>
          <w:spacing w:val="-2"/>
        </w:rPr>
        <w:t xml:space="preserve"> </w:t>
      </w:r>
      <w:r>
        <w:t>kelas eksperimen diberikan perlakuan dengan menggunakan media papan perkalian</w:t>
      </w:r>
    </w:p>
    <w:p w14:paraId="522DFA96">
      <w:pPr>
        <w:pStyle w:val="10"/>
        <w:spacing w:line="360" w:lineRule="auto"/>
        <w:ind w:right="278" w:firstLine="709"/>
        <w:jc w:val="both"/>
      </w:pPr>
      <w:r>
        <w:t xml:space="preserve">Variabel penelitian merupakan unsur yang paling penting dalam sebuah penelitian yang mewakili dalam sesuatu yang ingin diukur atau diteliti oleh peneliti. Sugiyono (2023:67) menyatakan bahwa variabel penelitian merupakan segala sesuatu yang berbentuk apa saja yang di tetapkan oleh peneliti untuk di pelajari sehingga diperoleh inforasi tentang hal tersebut, kemudian di tarik kesimpulannya, ada dua jenis utama variabel dalam penelitian yaitu Variabel Independen (Variabel Bebas) adalah Variabel ini merupakan variabel yang meempengaruhi atau yang menjadi sebab perubahannya atau timbulnya variabel dependen (terikat) dan di simbolkan dengan huruf (X), dalam penelitian ini yang menjadi variabel bebas (X) yaitu Media Papan </w:t>
      </w:r>
      <w:r>
        <w:rPr>
          <w:spacing w:val="-2"/>
        </w:rPr>
        <w:t xml:space="preserve">Perkalian. Dan </w:t>
      </w:r>
      <w:r>
        <w:t>Variabel terikat ini merupakan variabel yang di pengaruhi atau yang menjadi akiibat, karena adanya variabel bebas dan disimbolkan dengan huruf (Y),dalam penelitian ini yang menjadi variabel terikat (Y) yaitu hasil belajar peserta didik kelas III SD Negeri 053963 Raja</w:t>
      </w:r>
      <w:r>
        <w:rPr>
          <w:spacing w:val="-2"/>
        </w:rPr>
        <w:t xml:space="preserve"> </w:t>
      </w:r>
      <w:r>
        <w:t>Tengah 2025/2026.</w:t>
      </w:r>
    </w:p>
    <w:p w14:paraId="331B1179">
      <w:pPr>
        <w:pStyle w:val="10"/>
        <w:spacing w:line="360" w:lineRule="auto"/>
        <w:ind w:right="278" w:firstLine="709"/>
        <w:jc w:val="both"/>
      </w:pPr>
      <w:r>
        <w:t>Instrument yang digunakan untuk mengumpulkan data hasil belajar siswa adalah tes tertulis yang berbentuk pilihan berganda dengan 10 butir soal. Dan dokumentasi sati metode pengumpulan data dengan melihat atau menganalisis dokumen yang di buat oleh subjek atau oleh orang lain. Teknik analisis data yang digunakan pada penelitian ini adalah uji validasi, uji normalitas dan uji homogenitas. Untuk mengetahui ada pengaruh yang signifikan penggunaan media papan perkalian terhadap hasil belajar</w:t>
      </w:r>
      <w:r>
        <w:rPr>
          <w:spacing w:val="40"/>
        </w:rPr>
        <w:t xml:space="preserve"> </w:t>
      </w:r>
      <w:r>
        <w:t>matematika siswa kelas III SD, maka dilakukan pengujian hipotesis menggunakan Uji-t.</w:t>
      </w:r>
    </w:p>
    <w:p w14:paraId="6E3CB51B">
      <w:pPr>
        <w:spacing w:before="137"/>
        <w:rPr>
          <w:b/>
          <w:sz w:val="24"/>
        </w:rPr>
      </w:pPr>
      <w:r>
        <w:rPr>
          <w:b/>
          <w:sz w:val="24"/>
        </w:rPr>
        <w:t>HASIL</w:t>
      </w:r>
      <w:r>
        <w:rPr>
          <w:b/>
          <w:spacing w:val="-15"/>
          <w:sz w:val="24"/>
        </w:rPr>
        <w:t xml:space="preserve"> </w:t>
      </w:r>
      <w:r>
        <w:rPr>
          <w:b/>
          <w:sz w:val="24"/>
        </w:rPr>
        <w:t>DAN</w:t>
      </w:r>
      <w:r>
        <w:rPr>
          <w:b/>
          <w:spacing w:val="-4"/>
          <w:sz w:val="24"/>
        </w:rPr>
        <w:t xml:space="preserve"> </w:t>
      </w:r>
      <w:r>
        <w:rPr>
          <w:b/>
          <w:spacing w:val="-2"/>
          <w:sz w:val="24"/>
        </w:rPr>
        <w:t>PEMBAHASAN</w:t>
      </w:r>
    </w:p>
    <w:p w14:paraId="4BC81165">
      <w:pPr>
        <w:pStyle w:val="10"/>
        <w:spacing w:line="360" w:lineRule="auto"/>
        <w:ind w:right="281" w:firstLine="709"/>
        <w:jc w:val="both"/>
      </w:pPr>
      <w:r>
        <w:t>Penelitian ini dilaksanakan pada siswa kelas III SD Negeri 053963 Raja Tengah Tahun Ajaran 2025/2026 dengan menggunakan metode kuantitatif jenis eksperimen semu (</w:t>
      </w:r>
      <w:r>
        <w:rPr>
          <w:i/>
        </w:rPr>
        <w:t>quasi experimental</w:t>
      </w:r>
      <w:r>
        <w:t xml:space="preserve">) dan desain </w:t>
      </w:r>
      <w:r>
        <w:rPr>
          <w:i/>
        </w:rPr>
        <w:t>Non Equivalent Control Group Design</w:t>
      </w:r>
      <w:r>
        <w:t>.</w:t>
      </w:r>
      <w:r>
        <w:rPr>
          <w:spacing w:val="-9"/>
        </w:rPr>
        <w:t xml:space="preserve"> </w:t>
      </w:r>
      <w:r>
        <w:t>Sampel</w:t>
      </w:r>
      <w:r>
        <w:rPr>
          <w:spacing w:val="-7"/>
        </w:rPr>
        <w:t xml:space="preserve"> </w:t>
      </w:r>
      <w:r>
        <w:t>penelitian</w:t>
      </w:r>
      <w:r>
        <w:rPr>
          <w:spacing w:val="-7"/>
        </w:rPr>
        <w:t xml:space="preserve"> </w:t>
      </w:r>
      <w:r>
        <w:t>terdiri</w:t>
      </w:r>
      <w:r>
        <w:rPr>
          <w:spacing w:val="-7"/>
        </w:rPr>
        <w:t xml:space="preserve"> </w:t>
      </w:r>
      <w:r>
        <w:t>atas</w:t>
      </w:r>
      <w:r>
        <w:rPr>
          <w:spacing w:val="-8"/>
        </w:rPr>
        <w:t xml:space="preserve"> </w:t>
      </w:r>
      <w:r>
        <w:t>21</w:t>
      </w:r>
      <w:r>
        <w:rPr>
          <w:spacing w:val="-7"/>
        </w:rPr>
        <w:t xml:space="preserve"> </w:t>
      </w:r>
      <w:r>
        <w:t>siswa</w:t>
      </w:r>
      <w:r>
        <w:rPr>
          <w:spacing w:val="-9"/>
        </w:rPr>
        <w:t xml:space="preserve"> </w:t>
      </w:r>
      <w:r>
        <w:t>kelas</w:t>
      </w:r>
      <w:r>
        <w:rPr>
          <w:spacing w:val="-8"/>
        </w:rPr>
        <w:t xml:space="preserve"> </w:t>
      </w:r>
      <w:r>
        <w:t>IIIA</w:t>
      </w:r>
      <w:r>
        <w:rPr>
          <w:spacing w:val="-19"/>
        </w:rPr>
        <w:t xml:space="preserve"> </w:t>
      </w:r>
      <w:r>
        <w:t>sebagai</w:t>
      </w:r>
      <w:r>
        <w:rPr>
          <w:spacing w:val="-7"/>
        </w:rPr>
        <w:t xml:space="preserve"> </w:t>
      </w:r>
      <w:r>
        <w:t>kelas</w:t>
      </w:r>
      <w:r>
        <w:rPr>
          <w:spacing w:val="-8"/>
        </w:rPr>
        <w:t xml:space="preserve"> </w:t>
      </w:r>
      <w:r>
        <w:t>kontrol</w:t>
      </w:r>
      <w:r>
        <w:rPr>
          <w:spacing w:val="-6"/>
        </w:rPr>
        <w:t xml:space="preserve"> </w:t>
      </w:r>
      <w:r>
        <w:rPr>
          <w:spacing w:val="-5"/>
        </w:rPr>
        <w:t>dan</w:t>
      </w:r>
      <w:r>
        <w:t xml:space="preserve"> 15 siswa kelas IIIB sebagai kelas eksperimen. Penelitian ini bertujuan untuk mengetahui pengaruh penggunaan media papan perkalian terhadap hasil belajar Matematika siswa kelas III.</w:t>
      </w:r>
    </w:p>
    <w:p w14:paraId="4E0CAAB3">
      <w:pPr>
        <w:pStyle w:val="6"/>
        <w:spacing w:before="109"/>
        <w:ind w:left="0"/>
        <w:jc w:val="center"/>
      </w:pPr>
      <w:r>
        <w:t>Tabel 1.</w:t>
      </w:r>
      <w:r>
        <w:rPr>
          <w:spacing w:val="-4"/>
        </w:rPr>
        <w:t xml:space="preserve"> </w:t>
      </w:r>
      <w:r>
        <w:t>Hasil</w:t>
      </w:r>
      <w:r>
        <w:rPr>
          <w:spacing w:val="-5"/>
        </w:rPr>
        <w:t xml:space="preserve"> </w:t>
      </w:r>
      <w:r>
        <w:t>Pretest</w:t>
      </w:r>
      <w:r>
        <w:rPr>
          <w:spacing w:val="-6"/>
        </w:rPr>
        <w:t xml:space="preserve"> </w:t>
      </w:r>
      <w:r>
        <w:t>IIIA</w:t>
      </w:r>
      <w:r>
        <w:rPr>
          <w:spacing w:val="-15"/>
        </w:rPr>
        <w:t xml:space="preserve"> </w:t>
      </w:r>
      <w:r>
        <w:t>Dan</w:t>
      </w:r>
      <w:r>
        <w:rPr>
          <w:spacing w:val="-7"/>
        </w:rPr>
        <w:t xml:space="preserve"> </w:t>
      </w:r>
      <w:r>
        <w:rPr>
          <w:spacing w:val="-4"/>
        </w:rPr>
        <w:t>IIIB</w:t>
      </w:r>
    </w:p>
    <w:tbl>
      <w:tblPr>
        <w:tblStyle w:val="8"/>
        <w:tblpPr w:leftFromText="180" w:rightFromText="180" w:vertAnchor="text" w:horzAnchor="margin" w:tblpXSpec="center" w:tblpY="12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7"/>
        <w:gridCol w:w="2698"/>
      </w:tblGrid>
      <w:tr w14:paraId="7DB0A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127" w:type="dxa"/>
          </w:tcPr>
          <w:p w14:paraId="67E242EE">
            <w:pPr>
              <w:pStyle w:val="26"/>
              <w:ind w:right="16"/>
              <w:rPr>
                <w:sz w:val="24"/>
              </w:rPr>
            </w:pPr>
            <w:r>
              <w:rPr>
                <w:spacing w:val="-2"/>
                <w:sz w:val="24"/>
              </w:rPr>
              <w:t>Kelas</w:t>
            </w:r>
          </w:p>
        </w:tc>
        <w:tc>
          <w:tcPr>
            <w:tcW w:w="2698" w:type="dxa"/>
          </w:tcPr>
          <w:p w14:paraId="79F75CD3">
            <w:pPr>
              <w:pStyle w:val="26"/>
              <w:ind w:right="5"/>
              <w:rPr>
                <w:sz w:val="24"/>
              </w:rPr>
            </w:pPr>
            <w:r>
              <w:rPr>
                <w:sz w:val="24"/>
              </w:rPr>
              <w:t>Nilai</w:t>
            </w:r>
            <w:r>
              <w:rPr>
                <w:spacing w:val="-4"/>
                <w:sz w:val="24"/>
              </w:rPr>
              <w:t xml:space="preserve"> </w:t>
            </w:r>
            <w:r>
              <w:rPr>
                <w:sz w:val="24"/>
              </w:rPr>
              <w:t>rata-</w:t>
            </w:r>
            <w:r>
              <w:rPr>
                <w:spacing w:val="-4"/>
                <w:sz w:val="24"/>
              </w:rPr>
              <w:t>rata</w:t>
            </w:r>
          </w:p>
        </w:tc>
      </w:tr>
      <w:tr w14:paraId="47608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127" w:type="dxa"/>
          </w:tcPr>
          <w:p w14:paraId="4934B76E">
            <w:pPr>
              <w:pStyle w:val="26"/>
              <w:rPr>
                <w:sz w:val="24"/>
              </w:rPr>
            </w:pPr>
            <w:r>
              <w:rPr>
                <w:spacing w:val="-4"/>
                <w:sz w:val="24"/>
              </w:rPr>
              <w:t>IIIA</w:t>
            </w:r>
          </w:p>
        </w:tc>
        <w:tc>
          <w:tcPr>
            <w:tcW w:w="2698" w:type="dxa"/>
          </w:tcPr>
          <w:p w14:paraId="4D6CCB15">
            <w:pPr>
              <w:pStyle w:val="26"/>
              <w:rPr>
                <w:sz w:val="24"/>
              </w:rPr>
            </w:pPr>
            <w:r>
              <w:rPr>
                <w:spacing w:val="-2"/>
                <w:sz w:val="24"/>
              </w:rPr>
              <w:t>52,86</w:t>
            </w:r>
          </w:p>
        </w:tc>
      </w:tr>
      <w:tr w14:paraId="406CA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2127" w:type="dxa"/>
          </w:tcPr>
          <w:p w14:paraId="1AEA5B1D">
            <w:pPr>
              <w:pStyle w:val="26"/>
              <w:ind w:right="18"/>
              <w:rPr>
                <w:sz w:val="24"/>
              </w:rPr>
            </w:pPr>
            <w:r>
              <w:rPr>
                <w:spacing w:val="-4"/>
                <w:sz w:val="24"/>
              </w:rPr>
              <w:t>IIIB</w:t>
            </w:r>
          </w:p>
        </w:tc>
        <w:tc>
          <w:tcPr>
            <w:tcW w:w="2698" w:type="dxa"/>
          </w:tcPr>
          <w:p w14:paraId="7BCD89BC">
            <w:pPr>
              <w:pStyle w:val="26"/>
              <w:rPr>
                <w:sz w:val="24"/>
              </w:rPr>
            </w:pPr>
            <w:r>
              <w:rPr>
                <w:spacing w:val="-2"/>
                <w:sz w:val="24"/>
              </w:rPr>
              <w:t>52,67</w:t>
            </w:r>
          </w:p>
        </w:tc>
      </w:tr>
    </w:tbl>
    <w:p w14:paraId="430EC0F7">
      <w:pPr>
        <w:pStyle w:val="10"/>
        <w:spacing w:before="3"/>
        <w:jc w:val="center"/>
        <w:rPr>
          <w:b/>
          <w:sz w:val="19"/>
        </w:rPr>
      </w:pPr>
    </w:p>
    <w:p w14:paraId="484CE340">
      <w:pPr>
        <w:pStyle w:val="6"/>
        <w:spacing w:before="1"/>
        <w:ind w:left="0"/>
        <w:jc w:val="center"/>
        <w:rPr>
          <w:b w:val="0"/>
          <w:sz w:val="19"/>
        </w:rPr>
      </w:pPr>
    </w:p>
    <w:p w14:paraId="384BF0F9">
      <w:pPr>
        <w:pStyle w:val="10"/>
        <w:spacing w:line="360" w:lineRule="auto"/>
        <w:ind w:right="281" w:firstLine="709"/>
        <w:jc w:val="center"/>
      </w:pPr>
    </w:p>
    <w:p w14:paraId="6ACA774B">
      <w:pPr>
        <w:pStyle w:val="10"/>
        <w:spacing w:line="360" w:lineRule="auto"/>
        <w:ind w:right="281" w:firstLine="709"/>
        <w:jc w:val="both"/>
      </w:pPr>
    </w:p>
    <w:p w14:paraId="74DCC13A">
      <w:pPr>
        <w:pStyle w:val="10"/>
        <w:spacing w:line="360" w:lineRule="auto"/>
        <w:ind w:right="281" w:firstLine="709"/>
        <w:jc w:val="both"/>
        <w:rPr>
          <w:spacing w:val="-2"/>
        </w:rPr>
      </w:pPr>
      <w:r>
        <w:t>Sebelum</w:t>
      </w:r>
      <w:r>
        <w:rPr>
          <w:spacing w:val="-6"/>
        </w:rPr>
        <w:t xml:space="preserve"> </w:t>
      </w:r>
      <w:r>
        <w:t>diberikan</w:t>
      </w:r>
      <w:r>
        <w:rPr>
          <w:spacing w:val="-7"/>
        </w:rPr>
        <w:t xml:space="preserve"> </w:t>
      </w:r>
      <w:r>
        <w:t>perlakuan,</w:t>
      </w:r>
      <w:r>
        <w:rPr>
          <w:spacing w:val="-7"/>
        </w:rPr>
        <w:t xml:space="preserve"> </w:t>
      </w:r>
      <w:r>
        <w:t>kedua</w:t>
      </w:r>
      <w:r>
        <w:rPr>
          <w:spacing w:val="-6"/>
        </w:rPr>
        <w:t xml:space="preserve"> </w:t>
      </w:r>
      <w:r>
        <w:t>kelas</w:t>
      </w:r>
      <w:r>
        <w:rPr>
          <w:spacing w:val="-5"/>
        </w:rPr>
        <w:t xml:space="preserve"> </w:t>
      </w:r>
      <w:r>
        <w:t>terlebih</w:t>
      </w:r>
      <w:r>
        <w:rPr>
          <w:spacing w:val="-7"/>
        </w:rPr>
        <w:t xml:space="preserve"> </w:t>
      </w:r>
      <w:r>
        <w:t>dahulu</w:t>
      </w:r>
      <w:r>
        <w:rPr>
          <w:spacing w:val="-6"/>
        </w:rPr>
        <w:t xml:space="preserve"> </w:t>
      </w:r>
      <w:r>
        <w:t>diberikan</w:t>
      </w:r>
      <w:r>
        <w:rPr>
          <w:spacing w:val="-5"/>
        </w:rPr>
        <w:t xml:space="preserve"> </w:t>
      </w:r>
      <w:r>
        <w:t xml:space="preserve">pretest untuk mengetahui kemampuan awal siswa. Hasil pretest menunjukkan nilai rata- rata kelas IIIA sebesar 52,86 dan kelas IIIB sebesar 52,67, sehingga dapat disimpulkan bahwa kemampuan awal kedua kelas relatif sama. Selanjutnya, kelas IIIB diberikan pembelajaran Matematika materi perkalian dengan menggunakan media papan perkalian, sedangkan kelas IIIA diajar tanpa menggunakan media </w:t>
      </w:r>
      <w:r>
        <w:rPr>
          <w:spacing w:val="-2"/>
        </w:rPr>
        <w:t>tersebut.</w:t>
      </w:r>
    </w:p>
    <w:p w14:paraId="38F82B5F">
      <w:pPr>
        <w:pStyle w:val="6"/>
        <w:spacing w:before="1"/>
        <w:ind w:left="0"/>
        <w:jc w:val="center"/>
      </w:pPr>
      <w:r>
        <w:t>Tabel 2.</w:t>
      </w:r>
      <w:r>
        <w:rPr>
          <w:spacing w:val="-4"/>
        </w:rPr>
        <w:t xml:space="preserve"> </w:t>
      </w:r>
      <w:r>
        <w:t>Hasil</w:t>
      </w:r>
      <w:r>
        <w:rPr>
          <w:spacing w:val="-3"/>
        </w:rPr>
        <w:t xml:space="preserve"> </w:t>
      </w:r>
      <w:r>
        <w:t>rata</w:t>
      </w:r>
      <w:r>
        <w:rPr>
          <w:spacing w:val="-4"/>
        </w:rPr>
        <w:t xml:space="preserve"> </w:t>
      </w:r>
      <w:r>
        <w:t>rata</w:t>
      </w:r>
      <w:r>
        <w:rPr>
          <w:spacing w:val="-4"/>
        </w:rPr>
        <w:t xml:space="preserve"> </w:t>
      </w:r>
      <w:r>
        <w:t>nilai</w:t>
      </w:r>
      <w:r>
        <w:rPr>
          <w:spacing w:val="-4"/>
        </w:rPr>
        <w:t xml:space="preserve"> </w:t>
      </w:r>
      <w:r>
        <w:t>Posttest</w:t>
      </w:r>
      <w:r>
        <w:rPr>
          <w:spacing w:val="-4"/>
        </w:rPr>
        <w:t xml:space="preserve"> </w:t>
      </w:r>
      <w:r>
        <w:t>IIIA</w:t>
      </w:r>
      <w:r>
        <w:rPr>
          <w:spacing w:val="-15"/>
        </w:rPr>
        <w:t xml:space="preserve"> </w:t>
      </w:r>
      <w:r>
        <w:t>Dan</w:t>
      </w:r>
      <w:r>
        <w:rPr>
          <w:spacing w:val="-4"/>
        </w:rPr>
        <w:t xml:space="preserve"> IIIB</w:t>
      </w:r>
    </w:p>
    <w:tbl>
      <w:tblPr>
        <w:tblStyle w:val="8"/>
        <w:tblpPr w:leftFromText="180" w:rightFromText="180" w:vertAnchor="text" w:horzAnchor="margin" w:tblpXSpec="center" w:tblpY="9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75"/>
        <w:gridCol w:w="2139"/>
      </w:tblGrid>
      <w:tr w14:paraId="5F5D4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975" w:type="dxa"/>
          </w:tcPr>
          <w:p w14:paraId="73C4B0E6">
            <w:pPr>
              <w:pStyle w:val="26"/>
              <w:ind w:right="10"/>
              <w:rPr>
                <w:sz w:val="24"/>
              </w:rPr>
            </w:pPr>
            <w:r>
              <w:rPr>
                <w:spacing w:val="-2"/>
                <w:sz w:val="24"/>
              </w:rPr>
              <w:t>Kelas</w:t>
            </w:r>
          </w:p>
        </w:tc>
        <w:tc>
          <w:tcPr>
            <w:tcW w:w="2139" w:type="dxa"/>
          </w:tcPr>
          <w:p w14:paraId="46DD7BD4">
            <w:pPr>
              <w:pStyle w:val="26"/>
              <w:rPr>
                <w:sz w:val="24"/>
              </w:rPr>
            </w:pPr>
            <w:r>
              <w:rPr>
                <w:sz w:val="24"/>
              </w:rPr>
              <w:t>Nilai</w:t>
            </w:r>
            <w:r>
              <w:rPr>
                <w:spacing w:val="-4"/>
                <w:sz w:val="24"/>
              </w:rPr>
              <w:t xml:space="preserve"> </w:t>
            </w:r>
            <w:r>
              <w:rPr>
                <w:sz w:val="24"/>
              </w:rPr>
              <w:t>rata-</w:t>
            </w:r>
            <w:r>
              <w:rPr>
                <w:spacing w:val="-4"/>
                <w:sz w:val="24"/>
              </w:rPr>
              <w:t>rata</w:t>
            </w:r>
          </w:p>
        </w:tc>
      </w:tr>
      <w:tr w14:paraId="22A2B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75" w:type="dxa"/>
          </w:tcPr>
          <w:p w14:paraId="3EDC12F1">
            <w:pPr>
              <w:pStyle w:val="26"/>
              <w:rPr>
                <w:sz w:val="24"/>
              </w:rPr>
            </w:pPr>
            <w:r>
              <w:rPr>
                <w:spacing w:val="-4"/>
                <w:sz w:val="24"/>
              </w:rPr>
              <w:t>IIIA</w:t>
            </w:r>
          </w:p>
        </w:tc>
        <w:tc>
          <w:tcPr>
            <w:tcW w:w="2139" w:type="dxa"/>
          </w:tcPr>
          <w:p w14:paraId="3C998A2D">
            <w:pPr>
              <w:pStyle w:val="26"/>
              <w:rPr>
                <w:sz w:val="24"/>
              </w:rPr>
            </w:pPr>
            <w:r>
              <w:rPr>
                <w:spacing w:val="-2"/>
                <w:sz w:val="24"/>
              </w:rPr>
              <w:t>77,14</w:t>
            </w:r>
          </w:p>
        </w:tc>
      </w:tr>
      <w:tr w14:paraId="0D1F0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1975" w:type="dxa"/>
          </w:tcPr>
          <w:p w14:paraId="2A5CADE9">
            <w:pPr>
              <w:pStyle w:val="26"/>
              <w:ind w:right="8"/>
              <w:rPr>
                <w:sz w:val="24"/>
              </w:rPr>
            </w:pPr>
            <w:r>
              <w:rPr>
                <w:spacing w:val="-4"/>
                <w:sz w:val="24"/>
              </w:rPr>
              <w:t>IIIB</w:t>
            </w:r>
          </w:p>
        </w:tc>
        <w:tc>
          <w:tcPr>
            <w:tcW w:w="2139" w:type="dxa"/>
          </w:tcPr>
          <w:p w14:paraId="318E55D0">
            <w:pPr>
              <w:pStyle w:val="26"/>
              <w:rPr>
                <w:sz w:val="24"/>
              </w:rPr>
            </w:pPr>
            <w:r>
              <w:rPr>
                <w:spacing w:val="-2"/>
                <w:sz w:val="24"/>
              </w:rPr>
              <w:t>92,00</w:t>
            </w:r>
          </w:p>
        </w:tc>
      </w:tr>
    </w:tbl>
    <w:p w14:paraId="4F1C4F5E">
      <w:pPr>
        <w:pStyle w:val="10"/>
        <w:spacing w:line="360" w:lineRule="auto"/>
        <w:ind w:right="281" w:firstLine="709"/>
        <w:jc w:val="both"/>
      </w:pPr>
    </w:p>
    <w:p w14:paraId="665CBE19">
      <w:pPr>
        <w:pStyle w:val="10"/>
        <w:spacing w:line="360" w:lineRule="auto"/>
        <w:ind w:right="281" w:firstLine="709"/>
        <w:jc w:val="both"/>
      </w:pPr>
    </w:p>
    <w:p w14:paraId="5AC3041F">
      <w:pPr>
        <w:pStyle w:val="10"/>
        <w:spacing w:line="360" w:lineRule="auto"/>
        <w:ind w:right="281" w:firstLine="709"/>
        <w:jc w:val="both"/>
      </w:pPr>
    </w:p>
    <w:p w14:paraId="1B7F41D1">
      <w:pPr>
        <w:pStyle w:val="10"/>
        <w:spacing w:line="360" w:lineRule="auto"/>
        <w:ind w:right="281" w:firstLine="709"/>
        <w:jc w:val="both"/>
      </w:pPr>
    </w:p>
    <w:p w14:paraId="5132D6FE">
      <w:pPr>
        <w:pStyle w:val="10"/>
        <w:spacing w:line="360" w:lineRule="auto"/>
        <w:ind w:right="281" w:firstLine="709"/>
        <w:jc w:val="both"/>
      </w:pPr>
      <w:r>
        <w:t>Setelah perlakuan diberikan, siswa dari kedua kelas mengikuti posttest. Hasil posttest menunjukkan bahwa nilai rata-rata kelas eksperimen (IIIB) sebesar 92,00, sedangkan nilai rata-rata kelas kontrol (IIIA) sebesar 77,14. Hal ini menunjukkan bahwa hasil belajar siswa yang diajar menggunakan media papan perkalian lebih tinggi dibandingkan dengan siswa yang diajar tanpa menggunakan media papan perkalian.</w:t>
      </w:r>
    </w:p>
    <w:p w14:paraId="6C313C4E">
      <w:pPr>
        <w:pStyle w:val="25"/>
        <w:ind w:left="426"/>
        <w:jc w:val="center"/>
        <w:rPr>
          <w:b/>
          <w:sz w:val="24"/>
          <w:szCs w:val="24"/>
          <w:lang w:val="en-US"/>
        </w:rPr>
      </w:pPr>
      <w:r>
        <w:rPr>
          <w:b/>
          <w:sz w:val="24"/>
          <w:szCs w:val="24"/>
        </w:rPr>
        <w:t xml:space="preserve">Tabel 3. Hasil  </w:t>
      </w:r>
      <w:r>
        <w:rPr>
          <w:b/>
          <w:sz w:val="24"/>
          <w:szCs w:val="24"/>
          <w:lang w:val="en-US"/>
        </w:rPr>
        <w:t>Uji Perhitungan</w:t>
      </w:r>
      <w:r>
        <w:rPr>
          <w:b/>
          <w:i/>
          <w:sz w:val="24"/>
          <w:szCs w:val="24"/>
          <w:lang w:val="en-US"/>
        </w:rPr>
        <w:t xml:space="preserve"> Liliefors </w:t>
      </w:r>
      <w:r>
        <w:rPr>
          <w:b/>
          <w:sz w:val="24"/>
          <w:szCs w:val="24"/>
          <w:lang w:val="en-US"/>
        </w:rPr>
        <w:t>Kelas IIIA</w:t>
      </w:r>
    </w:p>
    <w:tbl>
      <w:tblPr>
        <w:tblStyle w:val="15"/>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77"/>
        <w:gridCol w:w="1216"/>
        <w:gridCol w:w="1052"/>
        <w:gridCol w:w="1843"/>
      </w:tblGrid>
      <w:tr w14:paraId="5FE355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tcPr>
          <w:p w14:paraId="22EE4CD4">
            <w:pPr>
              <w:widowControl/>
              <w:autoSpaceDE/>
              <w:autoSpaceDN/>
              <w:jc w:val="center"/>
              <w:rPr>
                <w:b/>
              </w:rPr>
            </w:pPr>
            <w:r>
              <w:rPr>
                <w:b/>
              </w:rPr>
              <w:t>Kelas</w:t>
            </w:r>
          </w:p>
        </w:tc>
        <w:tc>
          <w:tcPr>
            <w:tcW w:w="1216" w:type="dxa"/>
            <w:tcBorders>
              <w:bottom w:val="single" w:color="auto" w:sz="4" w:space="0"/>
            </w:tcBorders>
          </w:tcPr>
          <w:p w14:paraId="4F12AE44">
            <w:pPr>
              <w:widowControl/>
              <w:autoSpaceDE/>
              <w:autoSpaceDN/>
              <w:jc w:val="center"/>
              <w:rPr>
                <w:b/>
                <w:i/>
                <w:vertAlign w:val="superscript"/>
              </w:rPr>
            </w:pPr>
            <w:r>
              <w:rPr>
                <w:b/>
                <w:i/>
              </w:rPr>
              <w:t xml:space="preserve">L </w:t>
            </w:r>
            <w:r>
              <w:rPr>
                <w:b/>
                <w:i/>
                <w:vertAlign w:val="subscript"/>
              </w:rPr>
              <w:t>hitung</w:t>
            </w:r>
          </w:p>
        </w:tc>
        <w:tc>
          <w:tcPr>
            <w:tcW w:w="1052" w:type="dxa"/>
            <w:tcBorders>
              <w:bottom w:val="single" w:color="auto" w:sz="4" w:space="0"/>
            </w:tcBorders>
          </w:tcPr>
          <w:p w14:paraId="4F8FED9A">
            <w:pPr>
              <w:widowControl/>
              <w:autoSpaceDE/>
              <w:autoSpaceDN/>
              <w:jc w:val="center"/>
              <w:rPr>
                <w:b/>
                <w:i/>
              </w:rPr>
            </w:pPr>
            <w:r>
              <w:rPr>
                <w:b/>
                <w:i/>
              </w:rPr>
              <w:t xml:space="preserve">L </w:t>
            </w:r>
            <w:r>
              <w:rPr>
                <w:b/>
                <w:i/>
                <w:vertAlign w:val="subscript"/>
              </w:rPr>
              <w:t>tabel</w:t>
            </w:r>
          </w:p>
        </w:tc>
        <w:tc>
          <w:tcPr>
            <w:tcW w:w="1843" w:type="dxa"/>
          </w:tcPr>
          <w:p w14:paraId="0E08F7D6">
            <w:pPr>
              <w:widowControl/>
              <w:autoSpaceDE/>
              <w:autoSpaceDN/>
              <w:jc w:val="center"/>
              <w:rPr>
                <w:b/>
                <w:vertAlign w:val="subscript"/>
              </w:rPr>
            </w:pPr>
            <w:r>
              <w:rPr>
                <w:b/>
              </w:rPr>
              <w:t>Keterangan</w:t>
            </w:r>
          </w:p>
        </w:tc>
      </w:tr>
      <w:tr w14:paraId="7B2EE4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vAlign w:val="center"/>
          </w:tcPr>
          <w:p w14:paraId="6C22AF14">
            <w:pPr>
              <w:widowControl/>
              <w:autoSpaceDE/>
              <w:autoSpaceDN/>
              <w:spacing w:line="360" w:lineRule="auto"/>
              <w:contextualSpacing/>
              <w:jc w:val="center"/>
              <w:rPr>
                <w:i/>
              </w:rPr>
            </w:pPr>
            <w:r>
              <w:t xml:space="preserve">IIIA </w:t>
            </w:r>
            <w:r>
              <w:rPr>
                <w:i/>
              </w:rPr>
              <w:t>pretest</w:t>
            </w:r>
          </w:p>
        </w:tc>
        <w:tc>
          <w:tcPr>
            <w:tcW w:w="1216" w:type="dxa"/>
          </w:tcPr>
          <w:p w14:paraId="0DF8D903">
            <w:pPr>
              <w:widowControl/>
              <w:autoSpaceDE/>
              <w:autoSpaceDN/>
              <w:jc w:val="center"/>
              <w:rPr>
                <w:color w:val="000000"/>
              </w:rPr>
            </w:pPr>
            <w:r>
              <w:rPr>
                <w:color w:val="000000"/>
              </w:rPr>
              <w:t>0,163</w:t>
            </w:r>
          </w:p>
        </w:tc>
        <w:tc>
          <w:tcPr>
            <w:tcW w:w="1052" w:type="dxa"/>
            <w:tcBorders>
              <w:bottom w:val="single" w:color="auto" w:sz="4" w:space="0"/>
            </w:tcBorders>
            <w:vAlign w:val="center"/>
          </w:tcPr>
          <w:p w14:paraId="0E58DF95">
            <w:pPr>
              <w:widowControl/>
              <w:autoSpaceDE/>
              <w:autoSpaceDN/>
              <w:spacing w:line="360" w:lineRule="auto"/>
              <w:jc w:val="center"/>
            </w:pPr>
            <w:r>
              <w:t>0,187</w:t>
            </w:r>
          </w:p>
        </w:tc>
        <w:tc>
          <w:tcPr>
            <w:tcW w:w="1843" w:type="dxa"/>
            <w:tcBorders>
              <w:bottom w:val="single" w:color="auto" w:sz="4" w:space="0"/>
            </w:tcBorders>
            <w:vAlign w:val="center"/>
          </w:tcPr>
          <w:p w14:paraId="685D482A">
            <w:pPr>
              <w:widowControl/>
              <w:autoSpaceDE/>
              <w:autoSpaceDN/>
              <w:spacing w:line="360" w:lineRule="auto"/>
              <w:jc w:val="center"/>
            </w:pPr>
            <w:r>
              <w:t>Normal</w:t>
            </w:r>
          </w:p>
        </w:tc>
      </w:tr>
      <w:tr w14:paraId="448DB6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vAlign w:val="center"/>
          </w:tcPr>
          <w:p w14:paraId="119F3852">
            <w:pPr>
              <w:widowControl/>
              <w:autoSpaceDE/>
              <w:autoSpaceDN/>
              <w:spacing w:line="360" w:lineRule="auto"/>
              <w:contextualSpacing/>
              <w:jc w:val="center"/>
              <w:rPr>
                <w:i/>
              </w:rPr>
            </w:pPr>
            <w:r>
              <w:t xml:space="preserve">IIIA </w:t>
            </w:r>
            <w:r>
              <w:rPr>
                <w:i/>
              </w:rPr>
              <w:t>postest</w:t>
            </w:r>
          </w:p>
        </w:tc>
        <w:tc>
          <w:tcPr>
            <w:tcW w:w="1216" w:type="dxa"/>
          </w:tcPr>
          <w:p w14:paraId="18539145">
            <w:pPr>
              <w:widowControl/>
              <w:autoSpaceDE/>
              <w:autoSpaceDN/>
              <w:jc w:val="center"/>
              <w:rPr>
                <w:color w:val="000000"/>
              </w:rPr>
            </w:pPr>
            <w:r>
              <w:rPr>
                <w:color w:val="000000"/>
              </w:rPr>
              <w:t>0,170</w:t>
            </w:r>
          </w:p>
        </w:tc>
        <w:tc>
          <w:tcPr>
            <w:tcW w:w="1052" w:type="dxa"/>
            <w:tcBorders>
              <w:top w:val="single" w:color="auto" w:sz="4" w:space="0"/>
            </w:tcBorders>
          </w:tcPr>
          <w:p w14:paraId="12E1D0C2">
            <w:pPr>
              <w:widowControl/>
              <w:autoSpaceDE/>
              <w:autoSpaceDN/>
              <w:spacing w:line="360" w:lineRule="auto"/>
              <w:jc w:val="center"/>
            </w:pPr>
            <w:r>
              <w:t>0,187</w:t>
            </w:r>
          </w:p>
        </w:tc>
        <w:tc>
          <w:tcPr>
            <w:tcW w:w="1843" w:type="dxa"/>
            <w:tcBorders>
              <w:top w:val="single" w:color="auto" w:sz="4" w:space="0"/>
            </w:tcBorders>
          </w:tcPr>
          <w:p w14:paraId="5BEB7A41">
            <w:pPr>
              <w:widowControl/>
              <w:autoSpaceDE/>
              <w:autoSpaceDN/>
              <w:spacing w:line="360" w:lineRule="auto"/>
              <w:jc w:val="center"/>
            </w:pPr>
            <w:r>
              <w:t>Normal</w:t>
            </w:r>
          </w:p>
        </w:tc>
      </w:tr>
    </w:tbl>
    <w:p w14:paraId="77F262D2">
      <w:pPr>
        <w:pStyle w:val="10"/>
        <w:spacing w:line="360" w:lineRule="auto"/>
        <w:ind w:right="283" w:firstLine="720"/>
        <w:jc w:val="both"/>
      </w:pPr>
      <w:r>
        <w:t>Tabel di atas menunjukkan hasil uji normalitas data yang dianalisis menggunakan</w:t>
      </w:r>
      <w:r>
        <w:rPr>
          <w:spacing w:val="41"/>
        </w:rPr>
        <w:t xml:space="preserve">  </w:t>
      </w:r>
      <w:r>
        <w:t>uji</w:t>
      </w:r>
      <w:r>
        <w:rPr>
          <w:spacing w:val="44"/>
        </w:rPr>
        <w:t xml:space="preserve">  </w:t>
      </w:r>
      <w:r>
        <w:t>Liliefors.</w:t>
      </w:r>
      <w:r>
        <w:rPr>
          <w:spacing w:val="43"/>
        </w:rPr>
        <w:t xml:space="preserve">  </w:t>
      </w:r>
      <w:r>
        <w:t>Berdasarkan</w:t>
      </w:r>
      <w:r>
        <w:rPr>
          <w:spacing w:val="43"/>
        </w:rPr>
        <w:t xml:space="preserve">  </w:t>
      </w:r>
      <w:r>
        <w:t>hasil</w:t>
      </w:r>
      <w:r>
        <w:rPr>
          <w:spacing w:val="44"/>
        </w:rPr>
        <w:t xml:space="preserve">  </w:t>
      </w:r>
      <w:r>
        <w:t>pengujian,</w:t>
      </w:r>
      <w:r>
        <w:rPr>
          <w:spacing w:val="43"/>
        </w:rPr>
        <w:t xml:space="preserve">  </w:t>
      </w:r>
      <w:r>
        <w:t>diperoleh</w:t>
      </w:r>
      <w:r>
        <w:rPr>
          <w:spacing w:val="44"/>
        </w:rPr>
        <w:t xml:space="preserve">  </w:t>
      </w:r>
      <w:r>
        <w:rPr>
          <w:spacing w:val="-2"/>
        </w:rPr>
        <w:t>nilai</w:t>
      </w:r>
      <w:r>
        <w:t xml:space="preserve"> </w:t>
      </w:r>
      <w:r>
        <w:rPr>
          <w:rFonts w:ascii="Cambria Math" w:hAnsi="Cambria Math" w:eastAsia="Cambria Math"/>
        </w:rPr>
        <w:t>𝐿</w:t>
      </w:r>
      <w:r>
        <w:rPr>
          <w:rFonts w:ascii="Cambria Math" w:hAnsi="Cambria Math" w:eastAsia="Cambria Math"/>
          <w:vertAlign w:val="subscript"/>
        </w:rPr>
        <w:t>ℎ𝑖𝑡𝑢𝑛𝑔</w:t>
      </w:r>
      <w:r>
        <w:t>sebesar 0,163 untuk data pretest kelas IIIA. Pada tabel Liliefors dengan jumlah</w:t>
      </w:r>
      <w:r>
        <w:rPr>
          <w:spacing w:val="9"/>
        </w:rPr>
        <w:t xml:space="preserve"> </w:t>
      </w:r>
      <w:r>
        <w:t>sampel</w:t>
      </w:r>
      <w:r>
        <w:rPr>
          <w:spacing w:val="8"/>
        </w:rPr>
        <w:t xml:space="preserve"> </w:t>
      </w:r>
      <w:r>
        <w:rPr>
          <w:rFonts w:ascii="Cambria Math" w:hAnsi="Cambria Math" w:eastAsia="Cambria Math"/>
        </w:rPr>
        <w:t>𝑛</w:t>
      </w:r>
      <w:r>
        <w:rPr>
          <w:rFonts w:ascii="Cambria Math" w:hAnsi="Cambria Math" w:eastAsia="Cambria Math"/>
          <w:spacing w:val="24"/>
        </w:rPr>
        <w:t xml:space="preserve"> </w:t>
      </w:r>
      <w:r>
        <w:rPr>
          <w:rFonts w:ascii="Cambria Math" w:hAnsi="Cambria Math" w:eastAsia="Cambria Math"/>
        </w:rPr>
        <w:t>=</w:t>
      </w:r>
      <w:r>
        <w:rPr>
          <w:rFonts w:ascii="Cambria Math" w:hAnsi="Cambria Math" w:eastAsia="Cambria Math"/>
          <w:spacing w:val="17"/>
        </w:rPr>
        <w:t xml:space="preserve"> </w:t>
      </w:r>
      <w:r>
        <w:rPr>
          <w:rFonts w:ascii="Cambria Math" w:hAnsi="Cambria Math" w:eastAsia="Cambria Math"/>
        </w:rPr>
        <w:t>21</w:t>
      </w:r>
      <w:r>
        <w:t>dan</w:t>
      </w:r>
      <w:r>
        <w:rPr>
          <w:spacing w:val="10"/>
        </w:rPr>
        <w:t xml:space="preserve"> </w:t>
      </w:r>
      <w:r>
        <w:t>taraf</w:t>
      </w:r>
      <w:r>
        <w:rPr>
          <w:spacing w:val="8"/>
        </w:rPr>
        <w:t xml:space="preserve"> </w:t>
      </w:r>
      <w:r>
        <w:t>signifikansi</w:t>
      </w:r>
      <w:r>
        <w:rPr>
          <w:spacing w:val="9"/>
        </w:rPr>
        <w:t xml:space="preserve"> </w:t>
      </w:r>
      <w:r>
        <w:rPr>
          <w:rFonts w:ascii="Cambria Math" w:hAnsi="Cambria Math" w:eastAsia="Cambria Math"/>
        </w:rPr>
        <w:t>𝛼</w:t>
      </w:r>
      <w:r>
        <w:rPr>
          <w:rFonts w:ascii="Cambria Math" w:hAnsi="Cambria Math" w:eastAsia="Cambria Math"/>
          <w:spacing w:val="27"/>
        </w:rPr>
        <w:t xml:space="preserve"> </w:t>
      </w:r>
      <w:r>
        <w:rPr>
          <w:rFonts w:ascii="Cambria Math" w:hAnsi="Cambria Math" w:eastAsia="Cambria Math"/>
        </w:rPr>
        <w:t>=</w:t>
      </w:r>
      <w:r>
        <w:rPr>
          <w:rFonts w:ascii="Cambria Math" w:hAnsi="Cambria Math" w:eastAsia="Cambria Math"/>
          <w:spacing w:val="21"/>
        </w:rPr>
        <w:t xml:space="preserve"> </w:t>
      </w:r>
      <w:r>
        <w:rPr>
          <w:rFonts w:ascii="Cambria Math" w:hAnsi="Cambria Math" w:eastAsia="Cambria Math"/>
        </w:rPr>
        <w:t>0,05</w:t>
      </w:r>
      <w:r>
        <w:t>,</w:t>
      </w:r>
      <w:r>
        <w:rPr>
          <w:spacing w:val="9"/>
        </w:rPr>
        <w:t xml:space="preserve"> </w:t>
      </w:r>
      <w:r>
        <w:t>nilai</w:t>
      </w:r>
      <w:r>
        <w:rPr>
          <w:spacing w:val="8"/>
        </w:rPr>
        <w:t xml:space="preserve"> </w:t>
      </w:r>
      <w:r>
        <w:rPr>
          <w:rFonts w:ascii="Cambria Math" w:hAnsi="Cambria Math" w:eastAsia="Cambria Math"/>
        </w:rPr>
        <w:t>𝐿</w:t>
      </w:r>
      <w:r>
        <w:rPr>
          <w:rFonts w:ascii="Cambria Math" w:hAnsi="Cambria Math" w:eastAsia="Cambria Math"/>
          <w:vertAlign w:val="subscript"/>
        </w:rPr>
        <w:t>𝑡𝑎𝑏𝑒𝑙</w:t>
      </w:r>
      <w:r>
        <w:t>berada</w:t>
      </w:r>
      <w:r>
        <w:rPr>
          <w:spacing w:val="11"/>
        </w:rPr>
        <w:t xml:space="preserve"> </w:t>
      </w:r>
      <w:r>
        <w:t>di</w:t>
      </w:r>
      <w:r>
        <w:rPr>
          <w:spacing w:val="10"/>
        </w:rPr>
        <w:t xml:space="preserve"> </w:t>
      </w:r>
      <w:r>
        <w:rPr>
          <w:spacing w:val="-2"/>
        </w:rPr>
        <w:t xml:space="preserve">antara </w:t>
      </w:r>
      <w:r>
        <w:rPr>
          <w:rFonts w:ascii="Cambria Math" w:eastAsia="Cambria Math"/>
        </w:rPr>
        <w:t>𝑛</w:t>
      </w:r>
      <w:r>
        <w:rPr>
          <w:rFonts w:ascii="Cambria Math" w:eastAsia="Cambria Math"/>
          <w:spacing w:val="22"/>
        </w:rPr>
        <w:t xml:space="preserve"> </w:t>
      </w:r>
      <w:r>
        <w:rPr>
          <w:rFonts w:ascii="Cambria Math" w:eastAsia="Cambria Math"/>
        </w:rPr>
        <w:t>=</w:t>
      </w:r>
      <w:r>
        <w:rPr>
          <w:rFonts w:ascii="Cambria Math" w:eastAsia="Cambria Math"/>
          <w:spacing w:val="16"/>
        </w:rPr>
        <w:t xml:space="preserve"> </w:t>
      </w:r>
      <w:r>
        <w:rPr>
          <w:rFonts w:ascii="Cambria Math" w:eastAsia="Cambria Math"/>
        </w:rPr>
        <w:t>20</w:t>
      </w:r>
      <w:r>
        <w:t>dan</w:t>
      </w:r>
      <w:r>
        <w:rPr>
          <w:spacing w:val="29"/>
        </w:rPr>
        <w:t xml:space="preserve"> </w:t>
      </w:r>
      <w:r>
        <w:rPr>
          <w:rFonts w:ascii="Cambria Math" w:eastAsia="Cambria Math"/>
        </w:rPr>
        <w:t>𝑛</w:t>
      </w:r>
      <w:r>
        <w:rPr>
          <w:rFonts w:ascii="Cambria Math" w:eastAsia="Cambria Math"/>
          <w:spacing w:val="22"/>
        </w:rPr>
        <w:t xml:space="preserve"> </w:t>
      </w:r>
      <w:r>
        <w:rPr>
          <w:rFonts w:ascii="Cambria Math" w:eastAsia="Cambria Math"/>
        </w:rPr>
        <w:t>=</w:t>
      </w:r>
      <w:r>
        <w:rPr>
          <w:rFonts w:ascii="Cambria Math" w:eastAsia="Cambria Math"/>
          <w:spacing w:val="20"/>
        </w:rPr>
        <w:t xml:space="preserve"> </w:t>
      </w:r>
      <w:r>
        <w:rPr>
          <w:rFonts w:ascii="Cambria Math" w:eastAsia="Cambria Math"/>
        </w:rPr>
        <w:t>25</w:t>
      </w:r>
      <w:r>
        <w:t>.</w:t>
      </w:r>
      <w:r>
        <w:rPr>
          <w:spacing w:val="28"/>
        </w:rPr>
        <w:t xml:space="preserve"> </w:t>
      </w:r>
      <w:r>
        <w:t>Oleh</w:t>
      </w:r>
      <w:r>
        <w:rPr>
          <w:spacing w:val="28"/>
        </w:rPr>
        <w:t xml:space="preserve"> </w:t>
      </w:r>
      <w:r>
        <w:t>karena</w:t>
      </w:r>
      <w:r>
        <w:rPr>
          <w:spacing w:val="28"/>
        </w:rPr>
        <w:t xml:space="preserve"> </w:t>
      </w:r>
      <w:r>
        <w:t>nilai</w:t>
      </w:r>
      <w:r>
        <w:rPr>
          <w:spacing w:val="30"/>
        </w:rPr>
        <w:t xml:space="preserve"> </w:t>
      </w:r>
      <w:r>
        <w:rPr>
          <w:rFonts w:ascii="Cambria Math" w:eastAsia="Cambria Math"/>
        </w:rPr>
        <w:t>𝐿</w:t>
      </w:r>
      <w:r>
        <w:rPr>
          <w:rFonts w:ascii="Cambria Math" w:eastAsia="Cambria Math"/>
          <w:vertAlign w:val="subscript"/>
        </w:rPr>
        <w:t>𝑡𝑎𝑏𝑒𝑙</w:t>
      </w:r>
      <w:r>
        <w:t>untuk</w:t>
      </w:r>
      <w:r>
        <w:rPr>
          <w:spacing w:val="30"/>
        </w:rPr>
        <w:t xml:space="preserve"> </w:t>
      </w:r>
      <w:r>
        <w:rPr>
          <w:rFonts w:ascii="Cambria Math" w:eastAsia="Cambria Math"/>
        </w:rPr>
        <w:t>𝑛</w:t>
      </w:r>
      <w:r>
        <w:rPr>
          <w:rFonts w:ascii="Cambria Math" w:eastAsia="Cambria Math"/>
          <w:spacing w:val="22"/>
        </w:rPr>
        <w:t xml:space="preserve"> </w:t>
      </w:r>
      <w:r>
        <w:rPr>
          <w:rFonts w:ascii="Cambria Math" w:eastAsia="Cambria Math"/>
        </w:rPr>
        <w:t>=</w:t>
      </w:r>
      <w:r>
        <w:rPr>
          <w:rFonts w:ascii="Cambria Math" w:eastAsia="Cambria Math"/>
          <w:spacing w:val="16"/>
        </w:rPr>
        <w:t xml:space="preserve"> </w:t>
      </w:r>
      <w:r>
        <w:rPr>
          <w:rFonts w:ascii="Cambria Math" w:eastAsia="Cambria Math"/>
        </w:rPr>
        <w:t>21</w:t>
      </w:r>
      <w:r>
        <w:t>tidak</w:t>
      </w:r>
      <w:r>
        <w:rPr>
          <w:spacing w:val="29"/>
        </w:rPr>
        <w:t xml:space="preserve"> </w:t>
      </w:r>
      <w:r>
        <w:t>tercantum</w:t>
      </w:r>
      <w:r>
        <w:rPr>
          <w:spacing w:val="29"/>
        </w:rPr>
        <w:t xml:space="preserve"> </w:t>
      </w:r>
      <w:r>
        <w:rPr>
          <w:spacing w:val="-2"/>
        </w:rPr>
        <w:t>secara</w:t>
      </w:r>
      <w:r>
        <w:t xml:space="preserve"> langsung, maka dilakukan interpolasi sehingga diperoleh nilai </w:t>
      </w:r>
      <w:r>
        <w:rPr>
          <w:rFonts w:ascii="Cambria Math" w:hAnsi="Cambria Math" w:eastAsia="Cambria Math"/>
        </w:rPr>
        <w:t>𝐿</w:t>
      </w:r>
      <w:r>
        <w:rPr>
          <w:rFonts w:ascii="Cambria Math" w:hAnsi="Cambria Math" w:eastAsia="Cambria Math"/>
          <w:vertAlign w:val="subscript"/>
        </w:rPr>
        <w:t>𝑡𝑎𝑏𝑒𝑙</w:t>
      </w:r>
      <w:r>
        <w:rPr>
          <w:rFonts w:ascii="Cambria Math" w:hAnsi="Cambria Math" w:eastAsia="Cambria Math"/>
        </w:rPr>
        <w:t xml:space="preserve"> = 0,187</w:t>
      </w:r>
      <w:r>
        <w:t xml:space="preserve">. Karena nilai </w:t>
      </w:r>
      <w:r>
        <w:rPr>
          <w:rFonts w:ascii="Cambria Math" w:hAnsi="Cambria Math" w:eastAsia="Cambria Math"/>
        </w:rPr>
        <w:t>𝐿</w:t>
      </w:r>
      <w:r>
        <w:rPr>
          <w:rFonts w:ascii="Cambria Math" w:hAnsi="Cambria Math" w:eastAsia="Cambria Math"/>
          <w:vertAlign w:val="subscript"/>
        </w:rPr>
        <w:t>ℎ𝑖𝑡𝑢𝑛𝑔</w:t>
      </w:r>
      <w:r>
        <w:rPr>
          <w:rFonts w:ascii="Cambria Math" w:hAnsi="Cambria Math" w:eastAsia="Cambria Math"/>
          <w:spacing w:val="40"/>
        </w:rPr>
        <w:t xml:space="preserve"> </w:t>
      </w:r>
      <w:r>
        <w:rPr>
          <w:rFonts w:ascii="Cambria Math" w:hAnsi="Cambria Math" w:eastAsia="Cambria Math"/>
        </w:rPr>
        <w:t>&lt; 𝐿</w:t>
      </w:r>
      <w:r>
        <w:rPr>
          <w:rFonts w:ascii="Cambria Math" w:hAnsi="Cambria Math" w:eastAsia="Cambria Math"/>
          <w:vertAlign w:val="subscript"/>
        </w:rPr>
        <w:t>𝑡𝑎𝑏𝑒𝑙</w:t>
      </w:r>
      <w:r>
        <w:t>(0,163 &lt; 0,187), dapat disimpulkan bahwa data hasil belajar pretest kelas IIIA sebelum diberikan perlakuan berdistribusi normal dan hasil uji</w:t>
      </w:r>
      <w:r>
        <w:rPr>
          <w:spacing w:val="-1"/>
        </w:rPr>
        <w:t xml:space="preserve"> </w:t>
      </w:r>
      <w:r>
        <w:t>normalitas</w:t>
      </w:r>
      <w:r>
        <w:rPr>
          <w:spacing w:val="-2"/>
        </w:rPr>
        <w:t xml:space="preserve"> </w:t>
      </w:r>
      <w:r>
        <w:t>data</w:t>
      </w:r>
      <w:r>
        <w:rPr>
          <w:spacing w:val="-1"/>
        </w:rPr>
        <w:t xml:space="preserve"> </w:t>
      </w:r>
      <w:r>
        <w:t>posttest</w:t>
      </w:r>
      <w:r>
        <w:rPr>
          <w:spacing w:val="-1"/>
        </w:rPr>
        <w:t xml:space="preserve"> </w:t>
      </w:r>
      <w:r>
        <w:t>kelas</w:t>
      </w:r>
      <w:r>
        <w:rPr>
          <w:spacing w:val="-2"/>
        </w:rPr>
        <w:t xml:space="preserve"> </w:t>
      </w:r>
      <w:r>
        <w:t>IIIA</w:t>
      </w:r>
      <w:r>
        <w:rPr>
          <w:spacing w:val="-15"/>
        </w:rPr>
        <w:t xml:space="preserve"> </w:t>
      </w:r>
      <w:r>
        <w:t>menunjukkan</w:t>
      </w:r>
      <w:r>
        <w:rPr>
          <w:spacing w:val="2"/>
        </w:rPr>
        <w:t xml:space="preserve"> </w:t>
      </w:r>
      <w:r>
        <w:rPr>
          <w:spacing w:val="-2"/>
        </w:rPr>
        <w:t>nilai</w:t>
      </w:r>
      <w:r>
        <w:t xml:space="preserve"> </w:t>
      </w:r>
      <w:r>
        <w:rPr>
          <w:rFonts w:ascii="Cambria Math" w:hAnsi="Cambria Math" w:eastAsia="Cambria Math"/>
        </w:rPr>
        <w:t>𝐿</w:t>
      </w:r>
      <w:r>
        <w:rPr>
          <w:rFonts w:ascii="Cambria Math" w:hAnsi="Cambria Math" w:eastAsia="Cambria Math"/>
          <w:vertAlign w:val="subscript"/>
        </w:rPr>
        <w:t>ℎ𝑖𝑡𝑢𝑛𝑔</w:t>
      </w:r>
      <w:r>
        <w:t xml:space="preserve">sebesar 0,170. Dengan jumlah sampel dan taraf signifikansi yang sama, diperoleh nilai </w:t>
      </w:r>
      <w:r>
        <w:rPr>
          <w:rFonts w:ascii="Cambria Math" w:hAnsi="Cambria Math" w:eastAsia="Cambria Math"/>
        </w:rPr>
        <w:t>𝐿</w:t>
      </w:r>
      <w:r>
        <w:rPr>
          <w:rFonts w:ascii="Cambria Math" w:hAnsi="Cambria Math" w:eastAsia="Cambria Math"/>
          <w:vertAlign w:val="subscript"/>
        </w:rPr>
        <w:t>𝑡𝑎𝑏𝑒𝑙</w:t>
      </w:r>
      <w:r>
        <w:rPr>
          <w:rFonts w:ascii="Cambria Math" w:hAnsi="Cambria Math" w:eastAsia="Cambria Math"/>
          <w:spacing w:val="40"/>
        </w:rPr>
        <w:t xml:space="preserve"> </w:t>
      </w:r>
      <w:r>
        <w:rPr>
          <w:rFonts w:ascii="Cambria Math" w:hAnsi="Cambria Math" w:eastAsia="Cambria Math"/>
        </w:rPr>
        <w:t>= 0,187</w:t>
      </w:r>
      <w:r>
        <w:t xml:space="preserve">. Karena nilai </w:t>
      </w:r>
      <w:r>
        <w:rPr>
          <w:rFonts w:ascii="Cambria Math" w:hAnsi="Cambria Math" w:eastAsia="Cambria Math"/>
        </w:rPr>
        <w:t>𝐿</w:t>
      </w:r>
      <w:r>
        <w:rPr>
          <w:rFonts w:ascii="Cambria Math" w:hAnsi="Cambria Math" w:eastAsia="Cambria Math"/>
          <w:vertAlign w:val="subscript"/>
        </w:rPr>
        <w:t>ℎ𝑖𝑡𝑢𝑛𝑔</w:t>
      </w:r>
      <w:r>
        <w:rPr>
          <w:rFonts w:ascii="Cambria Math" w:hAnsi="Cambria Math" w:eastAsia="Cambria Math"/>
          <w:spacing w:val="40"/>
        </w:rPr>
        <w:t xml:space="preserve"> </w:t>
      </w:r>
      <w:r>
        <w:rPr>
          <w:rFonts w:ascii="Cambria Math" w:hAnsi="Cambria Math" w:eastAsia="Cambria Math"/>
        </w:rPr>
        <w:t>&lt; 𝐿</w:t>
      </w:r>
      <w:r>
        <w:rPr>
          <w:rFonts w:ascii="Cambria Math" w:hAnsi="Cambria Math" w:eastAsia="Cambria Math"/>
          <w:vertAlign w:val="subscript"/>
        </w:rPr>
        <w:t>𝑡𝑎𝑏𝑒𝑙</w:t>
      </w:r>
      <w:r>
        <w:t>(0,170 &lt; 0,187), maka dapat disimpulkan bahwa data hasil belajar posttest kelas IIIA setelah diberikan perlakuan juga berdistribusi normal.</w:t>
      </w:r>
    </w:p>
    <w:p w14:paraId="5EEDB8AE">
      <w:pPr>
        <w:pStyle w:val="25"/>
        <w:ind w:left="0" w:firstLine="0"/>
        <w:jc w:val="center"/>
        <w:rPr>
          <w:b/>
          <w:i/>
          <w:sz w:val="24"/>
          <w:szCs w:val="24"/>
          <w:lang w:val="en-US"/>
        </w:rPr>
      </w:pPr>
      <w:r>
        <w:rPr>
          <w:b/>
          <w:sz w:val="24"/>
          <w:szCs w:val="24"/>
        </w:rPr>
        <w:t xml:space="preserve">Tabel 4. Hasil  </w:t>
      </w:r>
      <w:r>
        <w:rPr>
          <w:b/>
          <w:sz w:val="24"/>
          <w:szCs w:val="24"/>
          <w:lang w:val="en-US"/>
        </w:rPr>
        <w:t>Uji Perhitungan</w:t>
      </w:r>
      <w:r>
        <w:rPr>
          <w:b/>
          <w:i/>
          <w:sz w:val="24"/>
          <w:szCs w:val="24"/>
          <w:lang w:val="en-US"/>
        </w:rPr>
        <w:t xml:space="preserve"> Liliefors </w:t>
      </w:r>
      <w:r>
        <w:rPr>
          <w:b/>
          <w:sz w:val="24"/>
          <w:szCs w:val="24"/>
          <w:lang w:val="en-US"/>
        </w:rPr>
        <w:t>Kelas IIIB</w:t>
      </w:r>
    </w:p>
    <w:tbl>
      <w:tblPr>
        <w:tblStyle w:val="15"/>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977"/>
        <w:gridCol w:w="1216"/>
        <w:gridCol w:w="1052"/>
        <w:gridCol w:w="1843"/>
      </w:tblGrid>
      <w:tr w14:paraId="0B7E30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tcPr>
          <w:p w14:paraId="01E5A64B">
            <w:pPr>
              <w:widowControl/>
              <w:autoSpaceDE/>
              <w:autoSpaceDN/>
              <w:jc w:val="center"/>
              <w:rPr>
                <w:b/>
              </w:rPr>
            </w:pPr>
            <w:r>
              <w:rPr>
                <w:b/>
              </w:rPr>
              <w:t>Kelas</w:t>
            </w:r>
          </w:p>
        </w:tc>
        <w:tc>
          <w:tcPr>
            <w:tcW w:w="1216" w:type="dxa"/>
            <w:tcBorders>
              <w:bottom w:val="single" w:color="auto" w:sz="4" w:space="0"/>
            </w:tcBorders>
          </w:tcPr>
          <w:p w14:paraId="410434C4">
            <w:pPr>
              <w:widowControl/>
              <w:autoSpaceDE/>
              <w:autoSpaceDN/>
              <w:jc w:val="center"/>
              <w:rPr>
                <w:b/>
                <w:i/>
                <w:vertAlign w:val="superscript"/>
              </w:rPr>
            </w:pPr>
            <w:r>
              <w:rPr>
                <w:b/>
                <w:i/>
              </w:rPr>
              <w:t xml:space="preserve">L </w:t>
            </w:r>
            <w:r>
              <w:rPr>
                <w:b/>
                <w:i/>
                <w:vertAlign w:val="subscript"/>
              </w:rPr>
              <w:t>hitung</w:t>
            </w:r>
          </w:p>
        </w:tc>
        <w:tc>
          <w:tcPr>
            <w:tcW w:w="1052" w:type="dxa"/>
            <w:tcBorders>
              <w:bottom w:val="single" w:color="auto" w:sz="4" w:space="0"/>
            </w:tcBorders>
          </w:tcPr>
          <w:p w14:paraId="11623A34">
            <w:pPr>
              <w:widowControl/>
              <w:autoSpaceDE/>
              <w:autoSpaceDN/>
              <w:jc w:val="center"/>
              <w:rPr>
                <w:b/>
                <w:i/>
              </w:rPr>
            </w:pPr>
            <w:r>
              <w:rPr>
                <w:b/>
                <w:i/>
              </w:rPr>
              <w:t xml:space="preserve">L </w:t>
            </w:r>
            <w:r>
              <w:rPr>
                <w:b/>
                <w:i/>
                <w:vertAlign w:val="subscript"/>
              </w:rPr>
              <w:t>tabel</w:t>
            </w:r>
          </w:p>
        </w:tc>
        <w:tc>
          <w:tcPr>
            <w:tcW w:w="1843" w:type="dxa"/>
          </w:tcPr>
          <w:p w14:paraId="6332CA6D">
            <w:pPr>
              <w:widowControl/>
              <w:autoSpaceDE/>
              <w:autoSpaceDN/>
              <w:jc w:val="center"/>
              <w:rPr>
                <w:b/>
                <w:vertAlign w:val="subscript"/>
              </w:rPr>
            </w:pPr>
            <w:r>
              <w:rPr>
                <w:b/>
              </w:rPr>
              <w:t>Keterangan</w:t>
            </w:r>
          </w:p>
        </w:tc>
      </w:tr>
      <w:tr w14:paraId="0C1C59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vAlign w:val="center"/>
          </w:tcPr>
          <w:p w14:paraId="3BAD579A">
            <w:pPr>
              <w:widowControl/>
              <w:autoSpaceDE/>
              <w:autoSpaceDN/>
              <w:spacing w:line="360" w:lineRule="auto"/>
              <w:contextualSpacing/>
              <w:jc w:val="center"/>
              <w:rPr>
                <w:i/>
              </w:rPr>
            </w:pPr>
            <w:r>
              <w:t xml:space="preserve">IIIB </w:t>
            </w:r>
            <w:r>
              <w:rPr>
                <w:i/>
              </w:rPr>
              <w:t>pretest</w:t>
            </w:r>
          </w:p>
        </w:tc>
        <w:tc>
          <w:tcPr>
            <w:tcW w:w="1216" w:type="dxa"/>
          </w:tcPr>
          <w:p w14:paraId="1EC608AE">
            <w:pPr>
              <w:widowControl/>
              <w:autoSpaceDE/>
              <w:autoSpaceDN/>
              <w:jc w:val="center"/>
              <w:rPr>
                <w:color w:val="000000"/>
              </w:rPr>
            </w:pPr>
            <w:r>
              <w:rPr>
                <w:color w:val="000000"/>
              </w:rPr>
              <w:t>0,176</w:t>
            </w:r>
          </w:p>
        </w:tc>
        <w:tc>
          <w:tcPr>
            <w:tcW w:w="1052" w:type="dxa"/>
            <w:tcBorders>
              <w:bottom w:val="single" w:color="auto" w:sz="4" w:space="0"/>
            </w:tcBorders>
            <w:vAlign w:val="center"/>
          </w:tcPr>
          <w:p w14:paraId="42C65A66">
            <w:pPr>
              <w:widowControl/>
              <w:autoSpaceDE/>
              <w:autoSpaceDN/>
              <w:spacing w:line="360" w:lineRule="auto"/>
              <w:jc w:val="center"/>
            </w:pPr>
            <w:r>
              <w:t>0,220</w:t>
            </w:r>
          </w:p>
        </w:tc>
        <w:tc>
          <w:tcPr>
            <w:tcW w:w="1843" w:type="dxa"/>
            <w:tcBorders>
              <w:bottom w:val="single" w:color="auto" w:sz="4" w:space="0"/>
            </w:tcBorders>
            <w:vAlign w:val="center"/>
          </w:tcPr>
          <w:p w14:paraId="2A558836">
            <w:pPr>
              <w:widowControl/>
              <w:autoSpaceDE/>
              <w:autoSpaceDN/>
              <w:spacing w:line="360" w:lineRule="auto"/>
              <w:jc w:val="center"/>
            </w:pPr>
            <w:r>
              <w:t>Normal</w:t>
            </w:r>
          </w:p>
        </w:tc>
      </w:tr>
      <w:tr w14:paraId="47F5FD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977" w:type="dxa"/>
            <w:vAlign w:val="center"/>
          </w:tcPr>
          <w:p w14:paraId="16E20A51">
            <w:pPr>
              <w:widowControl/>
              <w:autoSpaceDE/>
              <w:autoSpaceDN/>
              <w:spacing w:line="360" w:lineRule="auto"/>
              <w:contextualSpacing/>
              <w:jc w:val="center"/>
              <w:rPr>
                <w:i/>
              </w:rPr>
            </w:pPr>
            <w:r>
              <w:t xml:space="preserve">IIIB </w:t>
            </w:r>
            <w:r>
              <w:rPr>
                <w:i/>
              </w:rPr>
              <w:t>postest</w:t>
            </w:r>
          </w:p>
        </w:tc>
        <w:tc>
          <w:tcPr>
            <w:tcW w:w="1216" w:type="dxa"/>
          </w:tcPr>
          <w:p w14:paraId="7743E36C">
            <w:pPr>
              <w:widowControl/>
              <w:autoSpaceDE/>
              <w:autoSpaceDN/>
              <w:jc w:val="center"/>
              <w:rPr>
                <w:color w:val="000000"/>
              </w:rPr>
            </w:pPr>
            <w:r>
              <w:rPr>
                <w:color w:val="000000"/>
              </w:rPr>
              <w:t>0,198</w:t>
            </w:r>
          </w:p>
        </w:tc>
        <w:tc>
          <w:tcPr>
            <w:tcW w:w="1052" w:type="dxa"/>
            <w:tcBorders>
              <w:top w:val="single" w:color="auto" w:sz="4" w:space="0"/>
            </w:tcBorders>
          </w:tcPr>
          <w:p w14:paraId="78E53F37">
            <w:pPr>
              <w:widowControl/>
              <w:autoSpaceDE/>
              <w:autoSpaceDN/>
              <w:spacing w:line="360" w:lineRule="auto"/>
              <w:jc w:val="center"/>
            </w:pPr>
            <w:r>
              <w:t>0,220</w:t>
            </w:r>
          </w:p>
        </w:tc>
        <w:tc>
          <w:tcPr>
            <w:tcW w:w="1843" w:type="dxa"/>
            <w:tcBorders>
              <w:top w:val="single" w:color="auto" w:sz="4" w:space="0"/>
            </w:tcBorders>
          </w:tcPr>
          <w:p w14:paraId="6B1EFC18">
            <w:pPr>
              <w:widowControl/>
              <w:autoSpaceDE/>
              <w:autoSpaceDN/>
              <w:spacing w:line="360" w:lineRule="auto"/>
              <w:jc w:val="center"/>
            </w:pPr>
            <w:r>
              <w:t>Normal</w:t>
            </w:r>
          </w:p>
        </w:tc>
      </w:tr>
    </w:tbl>
    <w:p w14:paraId="39878D50">
      <w:pPr>
        <w:pStyle w:val="10"/>
        <w:spacing w:line="360" w:lineRule="auto"/>
        <w:ind w:right="283" w:firstLine="720"/>
        <w:jc w:val="both"/>
      </w:pPr>
      <w:r>
        <w:t>Sementara</w:t>
      </w:r>
      <w:r>
        <w:rPr>
          <w:spacing w:val="59"/>
        </w:rPr>
        <w:t xml:space="preserve"> </w:t>
      </w:r>
      <w:r>
        <w:t>itu,</w:t>
      </w:r>
      <w:r>
        <w:rPr>
          <w:spacing w:val="61"/>
        </w:rPr>
        <w:t xml:space="preserve"> </w:t>
      </w:r>
      <w:r>
        <w:t>hasil</w:t>
      </w:r>
      <w:r>
        <w:rPr>
          <w:spacing w:val="62"/>
        </w:rPr>
        <w:t xml:space="preserve"> </w:t>
      </w:r>
      <w:r>
        <w:t>uji</w:t>
      </w:r>
      <w:r>
        <w:rPr>
          <w:spacing w:val="61"/>
        </w:rPr>
        <w:t xml:space="preserve"> </w:t>
      </w:r>
      <w:r>
        <w:t>normalitas</w:t>
      </w:r>
      <w:r>
        <w:rPr>
          <w:spacing w:val="60"/>
        </w:rPr>
        <w:t xml:space="preserve"> </w:t>
      </w:r>
      <w:r>
        <w:t>data</w:t>
      </w:r>
      <w:r>
        <w:rPr>
          <w:spacing w:val="60"/>
        </w:rPr>
        <w:t xml:space="preserve"> </w:t>
      </w:r>
      <w:r>
        <w:t>pretest</w:t>
      </w:r>
      <w:r>
        <w:rPr>
          <w:spacing w:val="63"/>
        </w:rPr>
        <w:t xml:space="preserve"> </w:t>
      </w:r>
      <w:r>
        <w:t>kelas</w:t>
      </w:r>
      <w:r>
        <w:rPr>
          <w:spacing w:val="60"/>
        </w:rPr>
        <w:t xml:space="preserve"> </w:t>
      </w:r>
      <w:r>
        <w:t>IIIB</w:t>
      </w:r>
      <w:r>
        <w:rPr>
          <w:spacing w:val="61"/>
        </w:rPr>
        <w:t xml:space="preserve"> </w:t>
      </w:r>
      <w:r>
        <w:t>menunjukkan</w:t>
      </w:r>
      <w:r>
        <w:rPr>
          <w:spacing w:val="61"/>
        </w:rPr>
        <w:t xml:space="preserve"> </w:t>
      </w:r>
      <w:r>
        <w:rPr>
          <w:spacing w:val="-2"/>
        </w:rPr>
        <w:t xml:space="preserve">nilai </w:t>
      </w:r>
      <w:r>
        <w:rPr>
          <w:rFonts w:ascii="Cambria Math" w:hAnsi="Cambria Math" w:eastAsia="Cambria Math"/>
        </w:rPr>
        <w:t>𝐿</w:t>
      </w:r>
      <w:r>
        <w:rPr>
          <w:rFonts w:ascii="Cambria Math" w:hAnsi="Cambria Math" w:eastAsia="Cambria Math"/>
          <w:vertAlign w:val="subscript"/>
        </w:rPr>
        <w:t>ℎ𝑖𝑡𝑢𝑛𝑔</w:t>
      </w:r>
      <w:r>
        <w:t xml:space="preserve">sebesar 0,176. Pada tabel Liliefors dengan jumlah sampel </w:t>
      </w:r>
      <w:r>
        <w:rPr>
          <w:rFonts w:ascii="Cambria Math" w:hAnsi="Cambria Math" w:eastAsia="Cambria Math"/>
        </w:rPr>
        <w:t>𝑛 = 15</w:t>
      </w:r>
      <w:r>
        <w:t>dan taraf signifikansi</w:t>
      </w:r>
      <w:r>
        <w:rPr>
          <w:spacing w:val="20"/>
        </w:rPr>
        <w:t xml:space="preserve"> </w:t>
      </w:r>
      <w:r>
        <w:rPr>
          <w:rFonts w:ascii="Cambria Math" w:hAnsi="Cambria Math" w:eastAsia="Cambria Math"/>
        </w:rPr>
        <w:t>𝛼</w:t>
      </w:r>
      <w:r>
        <w:rPr>
          <w:rFonts w:ascii="Cambria Math" w:hAnsi="Cambria Math" w:eastAsia="Cambria Math"/>
          <w:spacing w:val="33"/>
        </w:rPr>
        <w:t xml:space="preserve"> </w:t>
      </w:r>
      <w:r>
        <w:rPr>
          <w:rFonts w:ascii="Cambria Math" w:hAnsi="Cambria Math" w:eastAsia="Cambria Math"/>
        </w:rPr>
        <w:t>=</w:t>
      </w:r>
      <w:r>
        <w:rPr>
          <w:rFonts w:ascii="Cambria Math" w:hAnsi="Cambria Math" w:eastAsia="Cambria Math"/>
          <w:spacing w:val="29"/>
        </w:rPr>
        <w:t xml:space="preserve"> </w:t>
      </w:r>
      <w:r>
        <w:rPr>
          <w:rFonts w:ascii="Cambria Math" w:hAnsi="Cambria Math" w:eastAsia="Cambria Math"/>
        </w:rPr>
        <w:t>0,05</w:t>
      </w:r>
      <w:r>
        <w:t>,</w:t>
      </w:r>
      <w:r>
        <w:rPr>
          <w:spacing w:val="23"/>
        </w:rPr>
        <w:t xml:space="preserve"> </w:t>
      </w:r>
      <w:r>
        <w:t>diperoleh</w:t>
      </w:r>
      <w:r>
        <w:rPr>
          <w:spacing w:val="21"/>
        </w:rPr>
        <w:t xml:space="preserve"> </w:t>
      </w:r>
      <w:r>
        <w:t>nilai</w:t>
      </w:r>
      <w:r>
        <w:rPr>
          <w:spacing w:val="22"/>
        </w:rPr>
        <w:t xml:space="preserve"> </w:t>
      </w:r>
      <w:r>
        <w:rPr>
          <w:rFonts w:ascii="Cambria Math" w:hAnsi="Cambria Math" w:eastAsia="Cambria Math"/>
        </w:rPr>
        <w:t>𝐿</w:t>
      </w:r>
      <w:r>
        <w:rPr>
          <w:rFonts w:ascii="Cambria Math" w:hAnsi="Cambria Math" w:eastAsia="Cambria Math"/>
          <w:vertAlign w:val="subscript"/>
        </w:rPr>
        <w:t>𝑡𝑎𝑏𝑒𝑙</w:t>
      </w:r>
      <w:r>
        <w:t>sebesar</w:t>
      </w:r>
      <w:r>
        <w:rPr>
          <w:spacing w:val="22"/>
        </w:rPr>
        <w:t xml:space="preserve"> </w:t>
      </w:r>
      <w:r>
        <w:t>0,220.</w:t>
      </w:r>
      <w:r>
        <w:rPr>
          <w:spacing w:val="22"/>
        </w:rPr>
        <w:t xml:space="preserve"> </w:t>
      </w:r>
      <w:r>
        <w:t>Karena</w:t>
      </w:r>
      <w:r>
        <w:rPr>
          <w:spacing w:val="22"/>
        </w:rPr>
        <w:t xml:space="preserve"> </w:t>
      </w:r>
      <w:r>
        <w:t>nilai</w:t>
      </w:r>
      <w:r>
        <w:rPr>
          <w:spacing w:val="23"/>
        </w:rPr>
        <w:t xml:space="preserve"> </w:t>
      </w:r>
      <w:r>
        <w:rPr>
          <w:rFonts w:ascii="Cambria Math" w:hAnsi="Cambria Math" w:eastAsia="Cambria Math"/>
        </w:rPr>
        <w:t>𝐿</w:t>
      </w:r>
      <w:r>
        <w:rPr>
          <w:rFonts w:ascii="Cambria Math" w:hAnsi="Cambria Math" w:eastAsia="Cambria Math"/>
          <w:vertAlign w:val="subscript"/>
        </w:rPr>
        <w:t>ℎ𝑖𝑡𝑢𝑛𝑔</w:t>
      </w:r>
      <w:r>
        <w:rPr>
          <w:rFonts w:ascii="Cambria Math" w:hAnsi="Cambria Math" w:eastAsia="Cambria Math"/>
          <w:spacing w:val="40"/>
        </w:rPr>
        <w:t xml:space="preserve"> </w:t>
      </w:r>
      <w:r>
        <w:rPr>
          <w:rFonts w:ascii="Cambria Math" w:hAnsi="Cambria Math" w:eastAsia="Cambria Math"/>
          <w:spacing w:val="-10"/>
        </w:rPr>
        <w:t>&lt;</w:t>
      </w:r>
      <w:r>
        <w:rPr>
          <w:rFonts w:ascii="Cambria Math" w:hAnsi="Cambria Math" w:eastAsia="Cambria Math"/>
        </w:rPr>
        <w:t xml:space="preserve"> </w:t>
      </w:r>
      <w:r>
        <w:rPr>
          <w:rFonts w:ascii="Cambria Math" w:eastAsia="Cambria Math"/>
        </w:rPr>
        <w:t>𝐿</w:t>
      </w:r>
      <w:r>
        <w:rPr>
          <w:rFonts w:ascii="Cambria Math" w:eastAsia="Cambria Math"/>
          <w:vertAlign w:val="subscript"/>
        </w:rPr>
        <w:t>𝑡𝑎𝑏𝑒𝑙</w:t>
      </w:r>
      <w:r>
        <w:t>(0,176</w:t>
      </w:r>
      <w:r>
        <w:rPr>
          <w:spacing w:val="-6"/>
        </w:rPr>
        <w:t xml:space="preserve"> </w:t>
      </w:r>
      <w:r>
        <w:t>&lt;</w:t>
      </w:r>
      <w:r>
        <w:rPr>
          <w:spacing w:val="-7"/>
        </w:rPr>
        <w:t xml:space="preserve"> </w:t>
      </w:r>
      <w:r>
        <w:t>0,220),</w:t>
      </w:r>
      <w:r>
        <w:rPr>
          <w:spacing w:val="-6"/>
        </w:rPr>
        <w:t xml:space="preserve"> </w:t>
      </w:r>
      <w:r>
        <w:t>dapat</w:t>
      </w:r>
      <w:r>
        <w:rPr>
          <w:spacing w:val="-6"/>
        </w:rPr>
        <w:t xml:space="preserve"> </w:t>
      </w:r>
      <w:r>
        <w:t>disimpulkan</w:t>
      </w:r>
      <w:r>
        <w:rPr>
          <w:spacing w:val="-6"/>
        </w:rPr>
        <w:t xml:space="preserve"> </w:t>
      </w:r>
      <w:r>
        <w:t>bahwa</w:t>
      </w:r>
      <w:r>
        <w:rPr>
          <w:spacing w:val="-7"/>
        </w:rPr>
        <w:t xml:space="preserve"> </w:t>
      </w:r>
      <w:r>
        <w:t>data</w:t>
      </w:r>
      <w:r>
        <w:rPr>
          <w:spacing w:val="-7"/>
        </w:rPr>
        <w:t xml:space="preserve"> </w:t>
      </w:r>
      <w:r>
        <w:t>hasil</w:t>
      </w:r>
      <w:r>
        <w:rPr>
          <w:spacing w:val="-5"/>
        </w:rPr>
        <w:t xml:space="preserve"> </w:t>
      </w:r>
      <w:r>
        <w:t>belajar</w:t>
      </w:r>
      <w:r>
        <w:rPr>
          <w:spacing w:val="-7"/>
        </w:rPr>
        <w:t xml:space="preserve"> </w:t>
      </w:r>
      <w:r>
        <w:t>pretest</w:t>
      </w:r>
      <w:r>
        <w:rPr>
          <w:spacing w:val="-6"/>
        </w:rPr>
        <w:t xml:space="preserve"> </w:t>
      </w:r>
      <w:r>
        <w:t>kelas</w:t>
      </w:r>
      <w:r>
        <w:rPr>
          <w:spacing w:val="-6"/>
        </w:rPr>
        <w:t xml:space="preserve"> </w:t>
      </w:r>
      <w:r>
        <w:t>IIIB sebelum diberikan perlakuan berdistribusi normal. Adapun</w:t>
      </w:r>
      <w:r>
        <w:rPr>
          <w:spacing w:val="44"/>
        </w:rPr>
        <w:t xml:space="preserve"> </w:t>
      </w:r>
      <w:r>
        <w:t>hasil</w:t>
      </w:r>
      <w:r>
        <w:rPr>
          <w:spacing w:val="47"/>
        </w:rPr>
        <w:t xml:space="preserve"> </w:t>
      </w:r>
      <w:r>
        <w:t>uji</w:t>
      </w:r>
      <w:r>
        <w:rPr>
          <w:spacing w:val="47"/>
        </w:rPr>
        <w:t xml:space="preserve"> </w:t>
      </w:r>
      <w:r>
        <w:t>normalitas</w:t>
      </w:r>
      <w:r>
        <w:rPr>
          <w:spacing w:val="46"/>
        </w:rPr>
        <w:t xml:space="preserve"> </w:t>
      </w:r>
      <w:r>
        <w:t>data</w:t>
      </w:r>
      <w:r>
        <w:rPr>
          <w:spacing w:val="46"/>
        </w:rPr>
        <w:t xml:space="preserve"> </w:t>
      </w:r>
      <w:r>
        <w:t>posttest</w:t>
      </w:r>
      <w:r>
        <w:rPr>
          <w:spacing w:val="47"/>
        </w:rPr>
        <w:t xml:space="preserve"> </w:t>
      </w:r>
      <w:r>
        <w:t>kelas</w:t>
      </w:r>
      <w:r>
        <w:rPr>
          <w:spacing w:val="47"/>
        </w:rPr>
        <w:t xml:space="preserve"> </w:t>
      </w:r>
      <w:r>
        <w:t>IIIB</w:t>
      </w:r>
      <w:r>
        <w:rPr>
          <w:spacing w:val="47"/>
        </w:rPr>
        <w:t xml:space="preserve"> </w:t>
      </w:r>
      <w:r>
        <w:t>menunjukkan</w:t>
      </w:r>
      <w:r>
        <w:rPr>
          <w:spacing w:val="46"/>
        </w:rPr>
        <w:t xml:space="preserve"> </w:t>
      </w:r>
      <w:r>
        <w:rPr>
          <w:spacing w:val="-2"/>
        </w:rPr>
        <w:t>nilai</w:t>
      </w:r>
      <w:r>
        <w:t xml:space="preserve"> </w:t>
      </w:r>
      <w:r>
        <w:rPr>
          <w:rFonts w:ascii="Cambria Math" w:hAnsi="Cambria Math" w:eastAsia="Cambria Math"/>
        </w:rPr>
        <w:t>𝐿</w:t>
      </w:r>
      <w:r>
        <w:rPr>
          <w:rFonts w:ascii="Cambria Math" w:hAnsi="Cambria Math" w:eastAsia="Cambria Math"/>
          <w:vertAlign w:val="subscript"/>
        </w:rPr>
        <w:t>ℎ𝑖𝑡𝑢𝑛𝑔</w:t>
      </w:r>
      <w:r>
        <w:t>sebesar</w:t>
      </w:r>
      <w:r>
        <w:rPr>
          <w:spacing w:val="23"/>
        </w:rPr>
        <w:t xml:space="preserve"> </w:t>
      </w:r>
      <w:r>
        <w:t>0,198.</w:t>
      </w:r>
      <w:r>
        <w:rPr>
          <w:spacing w:val="20"/>
        </w:rPr>
        <w:t xml:space="preserve"> </w:t>
      </w:r>
      <w:r>
        <w:t>Dengan</w:t>
      </w:r>
      <w:r>
        <w:rPr>
          <w:spacing w:val="21"/>
        </w:rPr>
        <w:t xml:space="preserve"> </w:t>
      </w:r>
      <w:r>
        <w:t>nilai</w:t>
      </w:r>
      <w:r>
        <w:rPr>
          <w:spacing w:val="23"/>
        </w:rPr>
        <w:t xml:space="preserve"> </w:t>
      </w:r>
      <w:r>
        <w:rPr>
          <w:rFonts w:ascii="Cambria Math" w:hAnsi="Cambria Math" w:eastAsia="Cambria Math"/>
        </w:rPr>
        <w:t>𝐿</w:t>
      </w:r>
      <w:r>
        <w:rPr>
          <w:rFonts w:ascii="Cambria Math" w:hAnsi="Cambria Math" w:eastAsia="Cambria Math"/>
          <w:vertAlign w:val="subscript"/>
        </w:rPr>
        <w:t>𝑡𝑎𝑏𝑒𝑙</w:t>
      </w:r>
      <w:r>
        <w:t>yang</w:t>
      </w:r>
      <w:r>
        <w:rPr>
          <w:spacing w:val="21"/>
        </w:rPr>
        <w:t xml:space="preserve"> </w:t>
      </w:r>
      <w:r>
        <w:t>sama,</w:t>
      </w:r>
      <w:r>
        <w:rPr>
          <w:spacing w:val="23"/>
        </w:rPr>
        <w:t xml:space="preserve"> </w:t>
      </w:r>
      <w:r>
        <w:t>yaitu</w:t>
      </w:r>
      <w:r>
        <w:rPr>
          <w:spacing w:val="20"/>
        </w:rPr>
        <w:t xml:space="preserve"> </w:t>
      </w:r>
      <w:r>
        <w:t>0,220,</w:t>
      </w:r>
      <w:r>
        <w:rPr>
          <w:spacing w:val="21"/>
        </w:rPr>
        <w:t xml:space="preserve"> </w:t>
      </w:r>
      <w:r>
        <w:t>dan</w:t>
      </w:r>
      <w:r>
        <w:rPr>
          <w:spacing w:val="21"/>
        </w:rPr>
        <w:t xml:space="preserve"> </w:t>
      </w:r>
      <w:r>
        <w:t>karena</w:t>
      </w:r>
      <w:r>
        <w:rPr>
          <w:spacing w:val="21"/>
        </w:rPr>
        <w:t xml:space="preserve"> </w:t>
      </w:r>
      <w:r>
        <w:rPr>
          <w:spacing w:val="-2"/>
        </w:rPr>
        <w:t>nilai</w:t>
      </w:r>
      <w:r>
        <w:t xml:space="preserve"> </w:t>
      </w:r>
      <w:r>
        <w:rPr>
          <w:rFonts w:ascii="Cambria Math" w:hAnsi="Cambria Math" w:eastAsia="Cambria Math"/>
        </w:rPr>
        <w:t>𝐿</w:t>
      </w:r>
      <w:r>
        <w:rPr>
          <w:rFonts w:ascii="Cambria Math" w:hAnsi="Cambria Math" w:eastAsia="Cambria Math"/>
          <w:vertAlign w:val="subscript"/>
        </w:rPr>
        <w:t>ℎ𝑖𝑡𝑢𝑛𝑔</w:t>
      </w:r>
      <w:r>
        <w:rPr>
          <w:rFonts w:ascii="Cambria Math" w:hAnsi="Cambria Math" w:eastAsia="Cambria Math"/>
          <w:spacing w:val="40"/>
        </w:rPr>
        <w:t xml:space="preserve"> </w:t>
      </w:r>
      <w:r>
        <w:rPr>
          <w:rFonts w:ascii="Cambria Math" w:hAnsi="Cambria Math" w:eastAsia="Cambria Math"/>
        </w:rPr>
        <w:t>&lt; 𝐿</w:t>
      </w:r>
      <w:r>
        <w:rPr>
          <w:rFonts w:ascii="Cambria Math" w:hAnsi="Cambria Math" w:eastAsia="Cambria Math"/>
          <w:vertAlign w:val="subscript"/>
        </w:rPr>
        <w:t>𝑡𝑎𝑏𝑒𝑙</w:t>
      </w:r>
      <w:r>
        <w:t>(0,198 &lt; 0,220), maka dapat disimpulkan bahwa data hasil belajar posttest kelas IIIB setelah diberikan perlakuan berdistribusi normal.</w:t>
      </w:r>
    </w:p>
    <w:p w14:paraId="46113EF2">
      <w:pPr>
        <w:ind w:firstLine="720"/>
        <w:jc w:val="center"/>
        <w:rPr>
          <w:b/>
        </w:rPr>
      </w:pPr>
      <w:r>
        <w:rPr>
          <w:b/>
        </w:rPr>
        <w:t xml:space="preserve">Tabel 5. Hasil Homogenitas Data Hasil </w:t>
      </w:r>
      <w:r>
        <w:rPr>
          <w:b/>
          <w:i/>
        </w:rPr>
        <w:t>Pretest</w:t>
      </w:r>
    </w:p>
    <w:tbl>
      <w:tblPr>
        <w:tblStyle w:val="1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0"/>
        <w:gridCol w:w="1630"/>
        <w:gridCol w:w="1631"/>
        <w:gridCol w:w="1631"/>
        <w:gridCol w:w="1631"/>
      </w:tblGrid>
      <w:tr w14:paraId="06C39C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trPr>
        <w:tc>
          <w:tcPr>
            <w:tcW w:w="1630" w:type="dxa"/>
            <w:vAlign w:val="center"/>
          </w:tcPr>
          <w:p w14:paraId="20DEE0E8">
            <w:pPr>
              <w:widowControl/>
              <w:autoSpaceDE/>
              <w:autoSpaceDN/>
              <w:jc w:val="center"/>
              <w:rPr>
                <w:b/>
              </w:rPr>
            </w:pPr>
            <w:r>
              <w:rPr>
                <w:b/>
              </w:rPr>
              <w:t>Hasil</w:t>
            </w:r>
          </w:p>
        </w:tc>
        <w:tc>
          <w:tcPr>
            <w:tcW w:w="1630" w:type="dxa"/>
            <w:vAlign w:val="center"/>
          </w:tcPr>
          <w:p w14:paraId="630BB534">
            <w:pPr>
              <w:widowControl/>
              <w:autoSpaceDE/>
              <w:autoSpaceDN/>
              <w:jc w:val="center"/>
              <w:rPr>
                <w:b/>
                <w:vertAlign w:val="subscript"/>
              </w:rPr>
            </w:pPr>
            <w:r>
              <w:rPr>
                <w:b/>
              </w:rPr>
              <w:t xml:space="preserve">F </w:t>
            </w:r>
            <w:r>
              <w:rPr>
                <w:b/>
                <w:vertAlign w:val="subscript"/>
              </w:rPr>
              <w:t>hitung</w:t>
            </w:r>
          </w:p>
        </w:tc>
        <w:tc>
          <w:tcPr>
            <w:tcW w:w="1631" w:type="dxa"/>
            <w:vAlign w:val="center"/>
          </w:tcPr>
          <w:p w14:paraId="7E059991">
            <w:pPr>
              <w:widowControl/>
              <w:autoSpaceDE/>
              <w:autoSpaceDN/>
              <w:jc w:val="center"/>
              <w:rPr>
                <w:b/>
              </w:rPr>
            </w:pPr>
          </w:p>
        </w:tc>
        <w:tc>
          <w:tcPr>
            <w:tcW w:w="1631" w:type="dxa"/>
            <w:vAlign w:val="center"/>
          </w:tcPr>
          <w:p w14:paraId="00D38562">
            <w:pPr>
              <w:widowControl/>
              <w:autoSpaceDE/>
              <w:autoSpaceDN/>
              <w:jc w:val="center"/>
              <w:rPr>
                <w:b/>
                <w:vertAlign w:val="subscript"/>
              </w:rPr>
            </w:pPr>
            <w:r>
              <w:rPr>
                <w:b/>
              </w:rPr>
              <w:t>F</w:t>
            </w:r>
            <w:r>
              <w:rPr>
                <w:b/>
                <w:vertAlign w:val="subscript"/>
              </w:rPr>
              <w:t>tabel</w:t>
            </w:r>
          </w:p>
        </w:tc>
        <w:tc>
          <w:tcPr>
            <w:tcW w:w="1631" w:type="dxa"/>
            <w:vAlign w:val="center"/>
          </w:tcPr>
          <w:p w14:paraId="6A887CD9">
            <w:pPr>
              <w:widowControl/>
              <w:autoSpaceDE/>
              <w:autoSpaceDN/>
              <w:jc w:val="center"/>
              <w:rPr>
                <w:b/>
              </w:rPr>
            </w:pPr>
            <w:r>
              <w:rPr>
                <w:b/>
              </w:rPr>
              <w:t>Keterangan</w:t>
            </w:r>
          </w:p>
        </w:tc>
      </w:tr>
      <w:tr w14:paraId="3029D7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7" w:hRule="atLeast"/>
        </w:trPr>
        <w:tc>
          <w:tcPr>
            <w:tcW w:w="1630" w:type="dxa"/>
            <w:vAlign w:val="center"/>
          </w:tcPr>
          <w:p w14:paraId="6FB25F15">
            <w:pPr>
              <w:widowControl/>
              <w:autoSpaceDE/>
              <w:autoSpaceDN/>
              <w:jc w:val="center"/>
            </w:pPr>
            <w:r>
              <w:rPr>
                <w:i/>
              </w:rPr>
              <w:t>Posttest</w:t>
            </w:r>
          </w:p>
        </w:tc>
        <w:tc>
          <w:tcPr>
            <w:tcW w:w="1630" w:type="dxa"/>
            <w:vAlign w:val="center"/>
          </w:tcPr>
          <w:p w14:paraId="0A15FB14">
            <w:pPr>
              <w:widowControl/>
              <w:autoSpaceDE/>
              <w:autoSpaceDN/>
              <w:jc w:val="center"/>
              <w:rPr>
                <w:bCs/>
                <w:color w:val="000000"/>
              </w:rPr>
            </w:pPr>
            <w:r>
              <w:rPr>
                <w:bCs/>
                <w:color w:val="000000"/>
              </w:rPr>
              <w:t>1,27</w:t>
            </w:r>
          </w:p>
        </w:tc>
        <w:tc>
          <w:tcPr>
            <w:tcW w:w="1631" w:type="dxa"/>
            <w:vAlign w:val="center"/>
          </w:tcPr>
          <w:p w14:paraId="0A2F4084">
            <w:pPr>
              <w:widowControl/>
              <w:autoSpaceDE/>
              <w:autoSpaceDN/>
              <w:jc w:val="center"/>
            </w:pPr>
            <w:r>
              <w:t>&lt;</w:t>
            </w:r>
          </w:p>
        </w:tc>
        <w:tc>
          <w:tcPr>
            <w:tcW w:w="1631" w:type="dxa"/>
            <w:vAlign w:val="center"/>
          </w:tcPr>
          <w:p w14:paraId="449EFF4B">
            <w:pPr>
              <w:widowControl/>
              <w:autoSpaceDE/>
              <w:autoSpaceDN/>
              <w:jc w:val="center"/>
              <w:rPr>
                <w:bCs/>
                <w:color w:val="000000"/>
              </w:rPr>
            </w:pPr>
            <w:r>
              <w:rPr>
                <w:bCs/>
                <w:color w:val="000000"/>
              </w:rPr>
              <w:t>2,22</w:t>
            </w:r>
          </w:p>
        </w:tc>
        <w:tc>
          <w:tcPr>
            <w:tcW w:w="1631" w:type="dxa"/>
            <w:vAlign w:val="center"/>
          </w:tcPr>
          <w:p w14:paraId="09AFEFA8">
            <w:pPr>
              <w:widowControl/>
              <w:autoSpaceDE/>
              <w:autoSpaceDN/>
              <w:jc w:val="center"/>
            </w:pPr>
            <w:r>
              <w:t>Homogen</w:t>
            </w:r>
          </w:p>
        </w:tc>
      </w:tr>
    </w:tbl>
    <w:p w14:paraId="552238BC">
      <w:pPr>
        <w:pStyle w:val="10"/>
        <w:spacing w:line="372" w:lineRule="auto"/>
        <w:ind w:right="279" w:firstLine="720"/>
        <w:jc w:val="both"/>
        <w:rPr>
          <w:b/>
        </w:rPr>
      </w:pPr>
      <w:r>
        <w:t>Hasil uji homogenitas data pretest pada kelas IIIA</w:t>
      </w:r>
      <w:r>
        <w:rPr>
          <w:spacing w:val="-8"/>
        </w:rPr>
        <w:t xml:space="preserve"> </w:t>
      </w:r>
      <w:r>
        <w:t xml:space="preserve">dan IIIB yang dianalisis menggunakan Microsoft Excel menunjukkan bahwa nilai </w:t>
      </w:r>
      <w:r>
        <w:rPr>
          <w:rFonts w:ascii="Cambria Math" w:hAnsi="Cambria Math" w:eastAsia="Cambria Math"/>
        </w:rPr>
        <w:t>𝐹</w:t>
      </w:r>
      <w:r>
        <w:rPr>
          <w:rFonts w:ascii="Cambria Math" w:hAnsi="Cambria Math" w:eastAsia="Cambria Math"/>
          <w:vertAlign w:val="subscript"/>
        </w:rPr>
        <w:t>ℎ𝑖𝑡𝑢𝑛𝑔</w:t>
      </w:r>
      <w:r>
        <w:t>sebesar 1,27 dan nilai</w:t>
      </w:r>
      <w:r>
        <w:rPr>
          <w:spacing w:val="47"/>
        </w:rPr>
        <w:t xml:space="preserve">  </w:t>
      </w:r>
      <w:r>
        <w:rPr>
          <w:rFonts w:ascii="Cambria Math" w:hAnsi="Cambria Math" w:eastAsia="Cambria Math"/>
        </w:rPr>
        <w:t>𝐹</w:t>
      </w:r>
      <w:r>
        <w:rPr>
          <w:rFonts w:ascii="Cambria Math" w:hAnsi="Cambria Math" w:eastAsia="Cambria Math"/>
          <w:vertAlign w:val="subscript"/>
        </w:rPr>
        <w:t>𝑡𝑎𝑏𝑒𝑙</w:t>
      </w:r>
      <w:r>
        <w:t>sebesar</w:t>
      </w:r>
      <w:r>
        <w:rPr>
          <w:spacing w:val="49"/>
        </w:rPr>
        <w:t xml:space="preserve">  </w:t>
      </w:r>
      <w:r>
        <w:t>2,22.</w:t>
      </w:r>
      <w:r>
        <w:rPr>
          <w:spacing w:val="48"/>
        </w:rPr>
        <w:t xml:space="preserve">  </w:t>
      </w:r>
      <w:r>
        <w:t>Berdasarkan</w:t>
      </w:r>
      <w:r>
        <w:rPr>
          <w:spacing w:val="48"/>
        </w:rPr>
        <w:t xml:space="preserve">  </w:t>
      </w:r>
      <w:r>
        <w:t>kriteria</w:t>
      </w:r>
      <w:r>
        <w:rPr>
          <w:spacing w:val="48"/>
        </w:rPr>
        <w:t xml:space="preserve">  </w:t>
      </w:r>
      <w:r>
        <w:t>pengujian,</w:t>
      </w:r>
      <w:r>
        <w:rPr>
          <w:spacing w:val="48"/>
        </w:rPr>
        <w:t xml:space="preserve">  </w:t>
      </w:r>
      <w:r>
        <w:t>yaitu</w:t>
      </w:r>
      <w:r>
        <w:rPr>
          <w:spacing w:val="50"/>
        </w:rPr>
        <w:t xml:space="preserve">  </w:t>
      </w:r>
      <w:r>
        <w:rPr>
          <w:rFonts w:ascii="Cambria Math" w:hAnsi="Cambria Math" w:eastAsia="Cambria Math"/>
        </w:rPr>
        <w:t>𝐹</w:t>
      </w:r>
      <w:r>
        <w:rPr>
          <w:rFonts w:ascii="Cambria Math" w:hAnsi="Cambria Math" w:eastAsia="Cambria Math"/>
          <w:vertAlign w:val="subscript"/>
        </w:rPr>
        <w:t>ℎ𝑖𝑡𝑢𝑛𝑔</w:t>
      </w:r>
      <w:r>
        <w:rPr>
          <w:rFonts w:ascii="Cambria Math" w:hAnsi="Cambria Math" w:eastAsia="Cambria Math"/>
          <w:spacing w:val="30"/>
        </w:rPr>
        <w:t xml:space="preserve"> </w:t>
      </w:r>
      <w:r>
        <w:rPr>
          <w:rFonts w:ascii="Cambria Math" w:hAnsi="Cambria Math" w:eastAsia="Cambria Math"/>
          <w:spacing w:val="-10"/>
        </w:rPr>
        <w:t>&lt;</w:t>
      </w:r>
      <w:r>
        <w:rPr>
          <w:rFonts w:ascii="Cambria Math" w:hAnsi="Cambria Math" w:eastAsia="Cambria Math"/>
        </w:rPr>
        <w:t xml:space="preserve"> </w:t>
      </w:r>
      <w:r>
        <w:rPr>
          <w:rFonts w:ascii="Cambria Math" w:eastAsia="Cambria Math"/>
        </w:rPr>
        <w:t>𝐹</w:t>
      </w:r>
      <w:r>
        <w:rPr>
          <w:rFonts w:ascii="Cambria Math" w:eastAsia="Cambria Math"/>
          <w:vertAlign w:val="subscript"/>
        </w:rPr>
        <w:t>𝑡𝑎𝑏𝑒𝑙</w:t>
      </w:r>
      <w:r>
        <w:t>(1,27 &lt; 2,22), maka hipotesis nol (</w:t>
      </w:r>
      <w:r>
        <w:rPr>
          <w:rFonts w:ascii="Cambria Math" w:eastAsia="Cambria Math"/>
        </w:rPr>
        <w:t>𝐻</w:t>
      </w:r>
      <w:r>
        <w:rPr>
          <w:rFonts w:ascii="Cambria Math" w:eastAsia="Cambria Math"/>
          <w:vertAlign w:val="subscript"/>
        </w:rPr>
        <w:t>0</w:t>
      </w:r>
      <w:r>
        <w:t>) diterima. Dengan demikian, dapat disimpulkan bahwa data hasil belajar pretest siswa kelas IIIA dan IIIB memiliki varians yang homogen.</w:t>
      </w:r>
    </w:p>
    <w:p w14:paraId="78E86AE3">
      <w:pPr>
        <w:ind w:firstLine="720"/>
        <w:jc w:val="center"/>
        <w:rPr>
          <w:b/>
        </w:rPr>
      </w:pPr>
      <w:r>
        <w:rPr>
          <w:b/>
        </w:rPr>
        <w:t xml:space="preserve">Tabel 6. Hasil Homogenitas Data Hasil </w:t>
      </w:r>
      <w:r>
        <w:rPr>
          <w:b/>
          <w:i/>
        </w:rPr>
        <w:t>Posttest</w:t>
      </w:r>
    </w:p>
    <w:tbl>
      <w:tblPr>
        <w:tblStyle w:val="1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30"/>
        <w:gridCol w:w="1630"/>
        <w:gridCol w:w="1631"/>
        <w:gridCol w:w="1631"/>
        <w:gridCol w:w="1631"/>
      </w:tblGrid>
      <w:tr w14:paraId="185882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trPr>
        <w:tc>
          <w:tcPr>
            <w:tcW w:w="1630" w:type="dxa"/>
            <w:vAlign w:val="center"/>
          </w:tcPr>
          <w:p w14:paraId="466962C7">
            <w:pPr>
              <w:widowControl/>
              <w:autoSpaceDE/>
              <w:autoSpaceDN/>
              <w:jc w:val="center"/>
              <w:rPr>
                <w:b/>
              </w:rPr>
            </w:pPr>
            <w:r>
              <w:rPr>
                <w:b/>
              </w:rPr>
              <w:t>Hasil</w:t>
            </w:r>
          </w:p>
        </w:tc>
        <w:tc>
          <w:tcPr>
            <w:tcW w:w="1630" w:type="dxa"/>
            <w:vAlign w:val="center"/>
          </w:tcPr>
          <w:p w14:paraId="286B57B6">
            <w:pPr>
              <w:widowControl/>
              <w:autoSpaceDE/>
              <w:autoSpaceDN/>
              <w:jc w:val="center"/>
              <w:rPr>
                <w:b/>
                <w:vertAlign w:val="subscript"/>
              </w:rPr>
            </w:pPr>
            <w:r>
              <w:rPr>
                <w:b/>
              </w:rPr>
              <w:t xml:space="preserve">F </w:t>
            </w:r>
            <w:r>
              <w:rPr>
                <w:b/>
                <w:vertAlign w:val="subscript"/>
              </w:rPr>
              <w:t>hitung</w:t>
            </w:r>
          </w:p>
        </w:tc>
        <w:tc>
          <w:tcPr>
            <w:tcW w:w="1631" w:type="dxa"/>
            <w:vAlign w:val="center"/>
          </w:tcPr>
          <w:p w14:paraId="539150BC">
            <w:pPr>
              <w:widowControl/>
              <w:autoSpaceDE/>
              <w:autoSpaceDN/>
              <w:jc w:val="center"/>
              <w:rPr>
                <w:b/>
              </w:rPr>
            </w:pPr>
          </w:p>
        </w:tc>
        <w:tc>
          <w:tcPr>
            <w:tcW w:w="1631" w:type="dxa"/>
            <w:vAlign w:val="center"/>
          </w:tcPr>
          <w:p w14:paraId="23A20101">
            <w:pPr>
              <w:widowControl/>
              <w:autoSpaceDE/>
              <w:autoSpaceDN/>
              <w:jc w:val="center"/>
              <w:rPr>
                <w:b/>
                <w:vertAlign w:val="subscript"/>
              </w:rPr>
            </w:pPr>
            <w:r>
              <w:rPr>
                <w:b/>
              </w:rPr>
              <w:t>F</w:t>
            </w:r>
            <w:r>
              <w:rPr>
                <w:b/>
                <w:vertAlign w:val="subscript"/>
              </w:rPr>
              <w:t>tabel</w:t>
            </w:r>
          </w:p>
        </w:tc>
        <w:tc>
          <w:tcPr>
            <w:tcW w:w="1631" w:type="dxa"/>
            <w:vAlign w:val="center"/>
          </w:tcPr>
          <w:p w14:paraId="1FCC2B7E">
            <w:pPr>
              <w:widowControl/>
              <w:autoSpaceDE/>
              <w:autoSpaceDN/>
              <w:jc w:val="center"/>
              <w:rPr>
                <w:b/>
              </w:rPr>
            </w:pPr>
            <w:r>
              <w:rPr>
                <w:b/>
              </w:rPr>
              <w:t>Keterangan</w:t>
            </w:r>
          </w:p>
        </w:tc>
      </w:tr>
      <w:tr w14:paraId="76ABF7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7" w:hRule="atLeast"/>
        </w:trPr>
        <w:tc>
          <w:tcPr>
            <w:tcW w:w="1630" w:type="dxa"/>
            <w:vAlign w:val="center"/>
          </w:tcPr>
          <w:p w14:paraId="5B31C478">
            <w:pPr>
              <w:widowControl/>
              <w:autoSpaceDE/>
              <w:autoSpaceDN/>
              <w:jc w:val="center"/>
            </w:pPr>
            <w:r>
              <w:rPr>
                <w:i/>
              </w:rPr>
              <w:t>Posttest</w:t>
            </w:r>
          </w:p>
        </w:tc>
        <w:tc>
          <w:tcPr>
            <w:tcW w:w="1630" w:type="dxa"/>
            <w:vAlign w:val="center"/>
          </w:tcPr>
          <w:p w14:paraId="5D44C3FC">
            <w:pPr>
              <w:widowControl/>
              <w:autoSpaceDE/>
              <w:autoSpaceDN/>
              <w:jc w:val="center"/>
              <w:rPr>
                <w:bCs/>
                <w:color w:val="000000"/>
              </w:rPr>
            </w:pPr>
            <w:r>
              <w:rPr>
                <w:bCs/>
                <w:color w:val="000000"/>
              </w:rPr>
              <w:t>1,71</w:t>
            </w:r>
          </w:p>
        </w:tc>
        <w:tc>
          <w:tcPr>
            <w:tcW w:w="1631" w:type="dxa"/>
            <w:vAlign w:val="center"/>
          </w:tcPr>
          <w:p w14:paraId="435A88ED">
            <w:pPr>
              <w:widowControl/>
              <w:autoSpaceDE/>
              <w:autoSpaceDN/>
              <w:jc w:val="center"/>
            </w:pPr>
            <w:r>
              <w:t>&lt;</w:t>
            </w:r>
          </w:p>
        </w:tc>
        <w:tc>
          <w:tcPr>
            <w:tcW w:w="1631" w:type="dxa"/>
            <w:vAlign w:val="center"/>
          </w:tcPr>
          <w:p w14:paraId="1BE96468">
            <w:pPr>
              <w:widowControl/>
              <w:autoSpaceDE/>
              <w:autoSpaceDN/>
              <w:jc w:val="center"/>
              <w:rPr>
                <w:bCs/>
                <w:color w:val="000000"/>
              </w:rPr>
            </w:pPr>
            <w:r>
              <w:rPr>
                <w:bCs/>
                <w:color w:val="000000"/>
              </w:rPr>
              <w:t>2,22</w:t>
            </w:r>
          </w:p>
        </w:tc>
        <w:tc>
          <w:tcPr>
            <w:tcW w:w="1631" w:type="dxa"/>
            <w:vAlign w:val="center"/>
          </w:tcPr>
          <w:p w14:paraId="2EE563C8">
            <w:pPr>
              <w:widowControl/>
              <w:autoSpaceDE/>
              <w:autoSpaceDN/>
              <w:jc w:val="center"/>
            </w:pPr>
            <w:r>
              <w:t>Homogen</w:t>
            </w:r>
          </w:p>
        </w:tc>
      </w:tr>
    </w:tbl>
    <w:p w14:paraId="0924779F">
      <w:pPr>
        <w:pStyle w:val="10"/>
        <w:spacing w:line="372" w:lineRule="auto"/>
        <w:ind w:right="279" w:firstLine="720"/>
        <w:jc w:val="both"/>
        <w:rPr>
          <w:rFonts w:ascii="Cambria Math" w:hAnsi="Cambria Math" w:eastAsia="Cambria Math"/>
        </w:rPr>
      </w:pPr>
      <w:r>
        <w:t xml:space="preserve">Hasil uji homogenitas data posttest pada kelas eksperimen dan kontrol yang dianalisis menggunakan Microsoft Excel menunjukkan bahwa nilai </w:t>
      </w:r>
      <w:r>
        <w:rPr>
          <w:rFonts w:ascii="Cambria Math" w:hAnsi="Cambria Math" w:eastAsia="Cambria Math"/>
        </w:rPr>
        <w:t>𝐹</w:t>
      </w:r>
      <w:r>
        <w:rPr>
          <w:rFonts w:ascii="Cambria Math" w:hAnsi="Cambria Math" w:eastAsia="Cambria Math"/>
          <w:vertAlign w:val="subscript"/>
        </w:rPr>
        <w:t>ℎ𝑖𝑡𝑢𝑛𝑔</w:t>
      </w:r>
      <w:r>
        <w:t>sebesar 1,27 dan nilai</w:t>
      </w:r>
      <w:r>
        <w:rPr>
          <w:spacing w:val="47"/>
        </w:rPr>
        <w:t xml:space="preserve">  </w:t>
      </w:r>
      <w:r>
        <w:rPr>
          <w:rFonts w:ascii="Cambria Math" w:hAnsi="Cambria Math" w:eastAsia="Cambria Math"/>
        </w:rPr>
        <w:t>𝐹</w:t>
      </w:r>
      <w:r>
        <w:rPr>
          <w:rFonts w:ascii="Cambria Math" w:hAnsi="Cambria Math" w:eastAsia="Cambria Math"/>
          <w:vertAlign w:val="subscript"/>
        </w:rPr>
        <w:t>𝑡𝑎𝑏𝑒𝑙</w:t>
      </w:r>
      <w:r>
        <w:t>sebesar</w:t>
      </w:r>
      <w:r>
        <w:rPr>
          <w:spacing w:val="49"/>
        </w:rPr>
        <w:t xml:space="preserve">  </w:t>
      </w:r>
      <w:r>
        <w:t>2,22.</w:t>
      </w:r>
      <w:r>
        <w:rPr>
          <w:spacing w:val="48"/>
        </w:rPr>
        <w:t xml:space="preserve">  </w:t>
      </w:r>
      <w:r>
        <w:t>Berdasarkan</w:t>
      </w:r>
      <w:r>
        <w:rPr>
          <w:spacing w:val="48"/>
        </w:rPr>
        <w:t xml:space="preserve">  </w:t>
      </w:r>
      <w:r>
        <w:t>kriteria</w:t>
      </w:r>
      <w:r>
        <w:rPr>
          <w:spacing w:val="48"/>
        </w:rPr>
        <w:t xml:space="preserve">  </w:t>
      </w:r>
      <w:r>
        <w:t>pengujian,</w:t>
      </w:r>
      <w:r>
        <w:rPr>
          <w:spacing w:val="48"/>
        </w:rPr>
        <w:t xml:space="preserve">  </w:t>
      </w:r>
      <w:r>
        <w:t>yaitu</w:t>
      </w:r>
      <w:r>
        <w:rPr>
          <w:spacing w:val="50"/>
        </w:rPr>
        <w:t xml:space="preserve">  </w:t>
      </w:r>
      <w:r>
        <w:rPr>
          <w:rFonts w:ascii="Cambria Math" w:hAnsi="Cambria Math" w:eastAsia="Cambria Math"/>
        </w:rPr>
        <w:t>𝐹</w:t>
      </w:r>
      <w:r>
        <w:rPr>
          <w:rFonts w:ascii="Cambria Math" w:hAnsi="Cambria Math" w:eastAsia="Cambria Math"/>
          <w:vertAlign w:val="subscript"/>
        </w:rPr>
        <w:t>ℎ𝑖𝑡𝑢𝑛𝑔</w:t>
      </w:r>
      <w:r>
        <w:rPr>
          <w:rFonts w:ascii="Cambria Math" w:hAnsi="Cambria Math" w:eastAsia="Cambria Math"/>
          <w:spacing w:val="30"/>
        </w:rPr>
        <w:t xml:space="preserve"> </w:t>
      </w:r>
      <w:r>
        <w:rPr>
          <w:rFonts w:ascii="Cambria Math" w:hAnsi="Cambria Math" w:eastAsia="Cambria Math"/>
          <w:spacing w:val="-10"/>
        </w:rPr>
        <w:t>&lt;</w:t>
      </w:r>
      <w:r>
        <w:rPr>
          <w:rFonts w:ascii="Cambria Math" w:hAnsi="Cambria Math" w:eastAsia="Cambria Math"/>
        </w:rPr>
        <w:t xml:space="preserve"> </w:t>
      </w:r>
      <w:r>
        <w:rPr>
          <w:rFonts w:ascii="Cambria Math" w:eastAsia="Cambria Math"/>
        </w:rPr>
        <w:t>𝐹</w:t>
      </w:r>
      <w:r>
        <w:rPr>
          <w:rFonts w:ascii="Cambria Math" w:eastAsia="Cambria Math"/>
          <w:vertAlign w:val="subscript"/>
        </w:rPr>
        <w:t>𝑡𝑎𝑏𝑒𝑙</w:t>
      </w:r>
      <w:r>
        <w:t>(1,27 &lt; 2,22), maka hipotesis nol (</w:t>
      </w:r>
      <w:r>
        <w:rPr>
          <w:rFonts w:ascii="Cambria Math" w:eastAsia="Cambria Math"/>
        </w:rPr>
        <w:t>𝐻</w:t>
      </w:r>
      <w:r>
        <w:rPr>
          <w:rFonts w:ascii="Cambria Math" w:eastAsia="Cambria Math"/>
          <w:vertAlign w:val="subscript"/>
        </w:rPr>
        <w:t>0</w:t>
      </w:r>
      <w:r>
        <w:t>) diterima. Dengan demikian, dapat disimpulkan bahwa data hasil belajar posttest siswa kelas eksperimen dan kontrol memiliki varians yang homogen.</w:t>
      </w:r>
    </w:p>
    <w:p w14:paraId="259C7602">
      <w:pPr>
        <w:spacing w:before="238"/>
        <w:jc w:val="center"/>
        <w:rPr>
          <w:b/>
          <w:sz w:val="24"/>
        </w:rPr>
      </w:pPr>
      <w:r>
        <w:rPr>
          <w:b/>
          <w:sz w:val="24"/>
        </w:rPr>
        <w:t>Tabel</w:t>
      </w:r>
      <w:r>
        <w:rPr>
          <w:b/>
          <w:spacing w:val="-11"/>
          <w:sz w:val="24"/>
        </w:rPr>
        <w:t xml:space="preserve"> </w:t>
      </w:r>
      <w:r>
        <w:rPr>
          <w:b/>
          <w:sz w:val="24"/>
        </w:rPr>
        <w:t>7. Hasil</w:t>
      </w:r>
      <w:r>
        <w:rPr>
          <w:b/>
          <w:spacing w:val="-10"/>
          <w:sz w:val="24"/>
        </w:rPr>
        <w:t xml:space="preserve"> </w:t>
      </w:r>
      <w:r>
        <w:rPr>
          <w:b/>
          <w:sz w:val="24"/>
        </w:rPr>
        <w:t>Uji-t</w:t>
      </w:r>
      <w:r>
        <w:rPr>
          <w:b/>
          <w:spacing w:val="-9"/>
          <w:sz w:val="24"/>
        </w:rPr>
        <w:t xml:space="preserve"> </w:t>
      </w:r>
      <w:r>
        <w:rPr>
          <w:b/>
          <w:sz w:val="24"/>
        </w:rPr>
        <w:t>Menggunakan</w:t>
      </w:r>
      <w:r>
        <w:rPr>
          <w:b/>
          <w:spacing w:val="-10"/>
          <w:sz w:val="24"/>
        </w:rPr>
        <w:t xml:space="preserve"> </w:t>
      </w:r>
      <w:r>
        <w:rPr>
          <w:b/>
          <w:sz w:val="24"/>
        </w:rPr>
        <w:t>Ms</w:t>
      </w:r>
      <w:r>
        <w:rPr>
          <w:b/>
          <w:spacing w:val="-9"/>
          <w:sz w:val="24"/>
        </w:rPr>
        <w:t xml:space="preserve"> </w:t>
      </w:r>
      <w:r>
        <w:rPr>
          <w:b/>
          <w:sz w:val="24"/>
        </w:rPr>
        <w:t>Excel</w:t>
      </w:r>
      <w:r>
        <w:rPr>
          <w:b/>
          <w:spacing w:val="-8"/>
          <w:sz w:val="24"/>
        </w:rPr>
        <w:t xml:space="preserve"> </w:t>
      </w:r>
      <w:r>
        <w:rPr>
          <w:b/>
          <w:spacing w:val="-4"/>
          <w:sz w:val="24"/>
        </w:rPr>
        <w:t>2010</w:t>
      </w:r>
    </w:p>
    <w:tbl>
      <w:tblPr>
        <w:tblStyle w:val="8"/>
        <w:tblW w:w="7419" w:type="dxa"/>
        <w:jc w:val="center"/>
        <w:tblLayout w:type="fixed"/>
        <w:tblCellMar>
          <w:top w:w="0" w:type="dxa"/>
          <w:left w:w="0" w:type="dxa"/>
          <w:bottom w:w="0" w:type="dxa"/>
          <w:right w:w="0" w:type="dxa"/>
        </w:tblCellMar>
      </w:tblPr>
      <w:tblGrid>
        <w:gridCol w:w="4063"/>
        <w:gridCol w:w="1769"/>
        <w:gridCol w:w="1587"/>
      </w:tblGrid>
      <w:tr w14:paraId="1BE51A4E">
        <w:tblPrEx>
          <w:tblCellMar>
            <w:top w:w="0" w:type="dxa"/>
            <w:left w:w="0" w:type="dxa"/>
            <w:bottom w:w="0" w:type="dxa"/>
            <w:right w:w="0" w:type="dxa"/>
          </w:tblCellMar>
        </w:tblPrEx>
        <w:trPr>
          <w:trHeight w:val="436" w:hRule="atLeast"/>
          <w:jc w:val="center"/>
        </w:trPr>
        <w:tc>
          <w:tcPr>
            <w:tcW w:w="4063" w:type="dxa"/>
            <w:tcBorders>
              <w:top w:val="single" w:color="000000" w:sz="8" w:space="0"/>
              <w:bottom w:val="single" w:color="000000" w:sz="4" w:space="0"/>
            </w:tcBorders>
          </w:tcPr>
          <w:p w14:paraId="24CEF45A">
            <w:pPr>
              <w:pStyle w:val="26"/>
              <w:spacing w:before="0"/>
              <w:jc w:val="left"/>
            </w:pPr>
          </w:p>
        </w:tc>
        <w:tc>
          <w:tcPr>
            <w:tcW w:w="1769" w:type="dxa"/>
            <w:tcBorders>
              <w:top w:val="single" w:color="000000" w:sz="8" w:space="0"/>
              <w:bottom w:val="single" w:color="000000" w:sz="4" w:space="0"/>
            </w:tcBorders>
          </w:tcPr>
          <w:p w14:paraId="722CF151">
            <w:pPr>
              <w:pStyle w:val="26"/>
              <w:spacing w:before="0" w:line="275" w:lineRule="exact"/>
              <w:rPr>
                <w:i/>
                <w:sz w:val="24"/>
              </w:rPr>
            </w:pPr>
            <w:r>
              <w:rPr>
                <w:i/>
                <w:spacing w:val="-5"/>
                <w:sz w:val="24"/>
              </w:rPr>
              <w:t>100</w:t>
            </w:r>
          </w:p>
        </w:tc>
        <w:tc>
          <w:tcPr>
            <w:tcW w:w="1587" w:type="dxa"/>
            <w:tcBorders>
              <w:top w:val="single" w:color="000000" w:sz="8" w:space="0"/>
              <w:bottom w:val="single" w:color="000000" w:sz="4" w:space="0"/>
            </w:tcBorders>
          </w:tcPr>
          <w:p w14:paraId="3F1BFB23">
            <w:pPr>
              <w:pStyle w:val="26"/>
              <w:spacing w:before="0" w:line="275" w:lineRule="exact"/>
              <w:rPr>
                <w:i/>
                <w:sz w:val="24"/>
              </w:rPr>
            </w:pPr>
            <w:r>
              <w:rPr>
                <w:i/>
                <w:spacing w:val="-5"/>
                <w:sz w:val="24"/>
              </w:rPr>
              <w:t>60</w:t>
            </w:r>
          </w:p>
        </w:tc>
      </w:tr>
      <w:tr w14:paraId="48CC93C8">
        <w:tblPrEx>
          <w:tblCellMar>
            <w:top w:w="0" w:type="dxa"/>
            <w:left w:w="0" w:type="dxa"/>
            <w:bottom w:w="0" w:type="dxa"/>
            <w:right w:w="0" w:type="dxa"/>
          </w:tblCellMar>
        </w:tblPrEx>
        <w:trPr>
          <w:trHeight w:val="359" w:hRule="atLeast"/>
          <w:jc w:val="center"/>
        </w:trPr>
        <w:tc>
          <w:tcPr>
            <w:tcW w:w="4063" w:type="dxa"/>
            <w:tcBorders>
              <w:top w:val="single" w:color="000000" w:sz="4" w:space="0"/>
            </w:tcBorders>
          </w:tcPr>
          <w:p w14:paraId="1C6A13B6">
            <w:pPr>
              <w:pStyle w:val="26"/>
              <w:spacing w:before="0" w:line="275" w:lineRule="exact"/>
              <w:ind w:left="118"/>
              <w:jc w:val="left"/>
              <w:rPr>
                <w:sz w:val="24"/>
              </w:rPr>
            </w:pPr>
            <w:r>
              <w:rPr>
                <w:spacing w:val="-4"/>
                <w:sz w:val="24"/>
              </w:rPr>
              <w:t>Mean</w:t>
            </w:r>
          </w:p>
        </w:tc>
        <w:tc>
          <w:tcPr>
            <w:tcW w:w="1769" w:type="dxa"/>
            <w:tcBorders>
              <w:top w:val="single" w:color="000000" w:sz="4" w:space="0"/>
            </w:tcBorders>
          </w:tcPr>
          <w:p w14:paraId="0C2659F4">
            <w:pPr>
              <w:pStyle w:val="26"/>
              <w:spacing w:before="0" w:line="275" w:lineRule="exact"/>
              <w:ind w:right="106"/>
              <w:jc w:val="right"/>
              <w:rPr>
                <w:sz w:val="24"/>
              </w:rPr>
            </w:pPr>
            <w:r>
              <w:rPr>
                <w:spacing w:val="-2"/>
                <w:sz w:val="24"/>
              </w:rPr>
              <w:t>91,42857143</w:t>
            </w:r>
          </w:p>
        </w:tc>
        <w:tc>
          <w:tcPr>
            <w:tcW w:w="1587" w:type="dxa"/>
            <w:tcBorders>
              <w:top w:val="single" w:color="000000" w:sz="4" w:space="0"/>
            </w:tcBorders>
          </w:tcPr>
          <w:p w14:paraId="194A3DCD">
            <w:pPr>
              <w:pStyle w:val="26"/>
              <w:spacing w:before="0" w:line="275" w:lineRule="exact"/>
              <w:ind w:right="106"/>
              <w:jc w:val="right"/>
              <w:rPr>
                <w:sz w:val="24"/>
              </w:rPr>
            </w:pPr>
            <w:r>
              <w:rPr>
                <w:spacing w:val="-5"/>
                <w:sz w:val="24"/>
              </w:rPr>
              <w:t>78</w:t>
            </w:r>
          </w:p>
        </w:tc>
      </w:tr>
      <w:tr w14:paraId="46175CEF">
        <w:tblPrEx>
          <w:tblCellMar>
            <w:top w:w="0" w:type="dxa"/>
            <w:left w:w="0" w:type="dxa"/>
            <w:bottom w:w="0" w:type="dxa"/>
            <w:right w:w="0" w:type="dxa"/>
          </w:tblCellMar>
        </w:tblPrEx>
        <w:trPr>
          <w:trHeight w:val="435" w:hRule="atLeast"/>
          <w:jc w:val="center"/>
        </w:trPr>
        <w:tc>
          <w:tcPr>
            <w:tcW w:w="4063" w:type="dxa"/>
          </w:tcPr>
          <w:p w14:paraId="2D8546CE">
            <w:pPr>
              <w:pStyle w:val="26"/>
              <w:spacing w:before="74"/>
              <w:ind w:left="118"/>
              <w:jc w:val="left"/>
              <w:rPr>
                <w:sz w:val="24"/>
              </w:rPr>
            </w:pPr>
            <w:r>
              <w:rPr>
                <w:spacing w:val="-2"/>
                <w:sz w:val="24"/>
              </w:rPr>
              <w:t>Variance</w:t>
            </w:r>
          </w:p>
        </w:tc>
        <w:tc>
          <w:tcPr>
            <w:tcW w:w="1769" w:type="dxa"/>
          </w:tcPr>
          <w:p w14:paraId="6F5E7E0D">
            <w:pPr>
              <w:pStyle w:val="26"/>
              <w:spacing w:before="74"/>
              <w:ind w:right="106"/>
              <w:jc w:val="right"/>
              <w:rPr>
                <w:sz w:val="24"/>
              </w:rPr>
            </w:pPr>
            <w:r>
              <w:rPr>
                <w:spacing w:val="-2"/>
                <w:sz w:val="24"/>
              </w:rPr>
              <w:t>90,10989011</w:t>
            </w:r>
          </w:p>
        </w:tc>
        <w:tc>
          <w:tcPr>
            <w:tcW w:w="1587" w:type="dxa"/>
          </w:tcPr>
          <w:p w14:paraId="13110B44">
            <w:pPr>
              <w:pStyle w:val="26"/>
              <w:spacing w:before="74"/>
              <w:ind w:right="106"/>
              <w:jc w:val="right"/>
              <w:rPr>
                <w:sz w:val="24"/>
              </w:rPr>
            </w:pPr>
            <w:r>
              <w:rPr>
                <w:spacing w:val="-2"/>
                <w:sz w:val="24"/>
              </w:rPr>
              <w:t>143,1578947</w:t>
            </w:r>
          </w:p>
        </w:tc>
      </w:tr>
      <w:tr w14:paraId="5ECBBF0E">
        <w:tblPrEx>
          <w:tblCellMar>
            <w:top w:w="0" w:type="dxa"/>
            <w:left w:w="0" w:type="dxa"/>
            <w:bottom w:w="0" w:type="dxa"/>
            <w:right w:w="0" w:type="dxa"/>
          </w:tblCellMar>
        </w:tblPrEx>
        <w:trPr>
          <w:trHeight w:val="436" w:hRule="atLeast"/>
          <w:jc w:val="center"/>
        </w:trPr>
        <w:tc>
          <w:tcPr>
            <w:tcW w:w="4063" w:type="dxa"/>
          </w:tcPr>
          <w:p w14:paraId="4B831665">
            <w:pPr>
              <w:pStyle w:val="26"/>
              <w:spacing w:before="75"/>
              <w:ind w:left="118"/>
              <w:jc w:val="left"/>
              <w:rPr>
                <w:sz w:val="24"/>
              </w:rPr>
            </w:pPr>
            <w:r>
              <w:rPr>
                <w:spacing w:val="-2"/>
                <w:sz w:val="24"/>
              </w:rPr>
              <w:t>Observations</w:t>
            </w:r>
          </w:p>
        </w:tc>
        <w:tc>
          <w:tcPr>
            <w:tcW w:w="1769" w:type="dxa"/>
          </w:tcPr>
          <w:p w14:paraId="1FC80B61">
            <w:pPr>
              <w:pStyle w:val="26"/>
              <w:spacing w:before="75"/>
              <w:ind w:right="106"/>
              <w:jc w:val="right"/>
              <w:rPr>
                <w:sz w:val="24"/>
              </w:rPr>
            </w:pPr>
            <w:r>
              <w:rPr>
                <w:spacing w:val="-5"/>
                <w:sz w:val="24"/>
              </w:rPr>
              <w:t>14</w:t>
            </w:r>
          </w:p>
        </w:tc>
        <w:tc>
          <w:tcPr>
            <w:tcW w:w="1587" w:type="dxa"/>
          </w:tcPr>
          <w:p w14:paraId="58E00F37">
            <w:pPr>
              <w:pStyle w:val="26"/>
              <w:spacing w:before="75"/>
              <w:ind w:right="106"/>
              <w:jc w:val="right"/>
              <w:rPr>
                <w:sz w:val="24"/>
              </w:rPr>
            </w:pPr>
            <w:r>
              <w:rPr>
                <w:spacing w:val="-5"/>
                <w:sz w:val="24"/>
              </w:rPr>
              <w:t>20</w:t>
            </w:r>
          </w:p>
        </w:tc>
      </w:tr>
      <w:tr w14:paraId="7FE514A6">
        <w:tblPrEx>
          <w:tblCellMar>
            <w:top w:w="0" w:type="dxa"/>
            <w:left w:w="0" w:type="dxa"/>
            <w:bottom w:w="0" w:type="dxa"/>
            <w:right w:w="0" w:type="dxa"/>
          </w:tblCellMar>
        </w:tblPrEx>
        <w:trPr>
          <w:trHeight w:val="435" w:hRule="atLeast"/>
          <w:jc w:val="center"/>
        </w:trPr>
        <w:tc>
          <w:tcPr>
            <w:tcW w:w="4063" w:type="dxa"/>
          </w:tcPr>
          <w:p w14:paraId="29706797">
            <w:pPr>
              <w:pStyle w:val="26"/>
              <w:spacing w:before="75"/>
              <w:ind w:left="118"/>
              <w:jc w:val="left"/>
              <w:rPr>
                <w:sz w:val="24"/>
              </w:rPr>
            </w:pPr>
            <w:r>
              <w:rPr>
                <w:sz w:val="24"/>
              </w:rPr>
              <w:t>Pooled</w:t>
            </w:r>
            <w:r>
              <w:rPr>
                <w:spacing w:val="-6"/>
                <w:sz w:val="24"/>
              </w:rPr>
              <w:t xml:space="preserve"> </w:t>
            </w:r>
            <w:r>
              <w:rPr>
                <w:spacing w:val="-2"/>
                <w:sz w:val="24"/>
              </w:rPr>
              <w:t>Variance</w:t>
            </w:r>
          </w:p>
        </w:tc>
        <w:tc>
          <w:tcPr>
            <w:tcW w:w="1769" w:type="dxa"/>
          </w:tcPr>
          <w:p w14:paraId="227BEE79">
            <w:pPr>
              <w:pStyle w:val="26"/>
              <w:spacing w:before="75"/>
              <w:ind w:right="106"/>
              <w:jc w:val="right"/>
              <w:rPr>
                <w:sz w:val="24"/>
              </w:rPr>
            </w:pPr>
            <w:r>
              <w:rPr>
                <w:spacing w:val="-2"/>
                <w:sz w:val="24"/>
              </w:rPr>
              <w:t>121,6071429</w:t>
            </w:r>
          </w:p>
        </w:tc>
        <w:tc>
          <w:tcPr>
            <w:tcW w:w="1587" w:type="dxa"/>
          </w:tcPr>
          <w:p w14:paraId="5F888512">
            <w:pPr>
              <w:pStyle w:val="26"/>
              <w:spacing w:before="0"/>
              <w:jc w:val="left"/>
            </w:pPr>
          </w:p>
        </w:tc>
      </w:tr>
      <w:tr w14:paraId="14AE6CA8">
        <w:tblPrEx>
          <w:tblCellMar>
            <w:top w:w="0" w:type="dxa"/>
            <w:left w:w="0" w:type="dxa"/>
            <w:bottom w:w="0" w:type="dxa"/>
            <w:right w:w="0" w:type="dxa"/>
          </w:tblCellMar>
        </w:tblPrEx>
        <w:trPr>
          <w:trHeight w:val="435" w:hRule="atLeast"/>
          <w:jc w:val="center"/>
        </w:trPr>
        <w:tc>
          <w:tcPr>
            <w:tcW w:w="4063" w:type="dxa"/>
          </w:tcPr>
          <w:p w14:paraId="7CC21EB9">
            <w:pPr>
              <w:pStyle w:val="26"/>
              <w:spacing w:before="74"/>
              <w:ind w:left="118"/>
              <w:jc w:val="left"/>
              <w:rPr>
                <w:sz w:val="24"/>
              </w:rPr>
            </w:pPr>
            <w:r>
              <w:rPr>
                <w:sz w:val="24"/>
              </w:rPr>
              <w:t>Hypothesized</w:t>
            </w:r>
            <w:r>
              <w:rPr>
                <w:spacing w:val="-2"/>
                <w:sz w:val="24"/>
              </w:rPr>
              <w:t xml:space="preserve"> </w:t>
            </w:r>
            <w:r>
              <w:rPr>
                <w:sz w:val="24"/>
              </w:rPr>
              <w:t>Mean</w:t>
            </w:r>
            <w:r>
              <w:rPr>
                <w:spacing w:val="-1"/>
                <w:sz w:val="24"/>
              </w:rPr>
              <w:t xml:space="preserve"> </w:t>
            </w:r>
            <w:r>
              <w:rPr>
                <w:spacing w:val="-2"/>
                <w:sz w:val="24"/>
              </w:rPr>
              <w:t>Difference</w:t>
            </w:r>
          </w:p>
        </w:tc>
        <w:tc>
          <w:tcPr>
            <w:tcW w:w="1769" w:type="dxa"/>
          </w:tcPr>
          <w:p w14:paraId="631A1BD9">
            <w:pPr>
              <w:pStyle w:val="26"/>
              <w:spacing w:before="74"/>
              <w:ind w:right="106"/>
              <w:jc w:val="right"/>
              <w:rPr>
                <w:sz w:val="24"/>
              </w:rPr>
            </w:pPr>
            <w:r>
              <w:rPr>
                <w:spacing w:val="-10"/>
                <w:sz w:val="24"/>
              </w:rPr>
              <w:t>0</w:t>
            </w:r>
          </w:p>
        </w:tc>
        <w:tc>
          <w:tcPr>
            <w:tcW w:w="1587" w:type="dxa"/>
          </w:tcPr>
          <w:p w14:paraId="627EBA0B">
            <w:pPr>
              <w:pStyle w:val="26"/>
              <w:spacing w:before="0"/>
              <w:jc w:val="left"/>
            </w:pPr>
          </w:p>
        </w:tc>
      </w:tr>
      <w:tr w14:paraId="70667241">
        <w:tblPrEx>
          <w:tblCellMar>
            <w:top w:w="0" w:type="dxa"/>
            <w:left w:w="0" w:type="dxa"/>
            <w:bottom w:w="0" w:type="dxa"/>
            <w:right w:w="0" w:type="dxa"/>
          </w:tblCellMar>
        </w:tblPrEx>
        <w:trPr>
          <w:trHeight w:val="512" w:hRule="atLeast"/>
          <w:jc w:val="center"/>
        </w:trPr>
        <w:tc>
          <w:tcPr>
            <w:tcW w:w="4063" w:type="dxa"/>
          </w:tcPr>
          <w:p w14:paraId="631DEFCB">
            <w:pPr>
              <w:pStyle w:val="26"/>
              <w:spacing w:before="75"/>
              <w:ind w:left="118"/>
              <w:jc w:val="left"/>
              <w:rPr>
                <w:sz w:val="24"/>
              </w:rPr>
            </w:pPr>
            <w:r>
              <w:rPr>
                <w:spacing w:val="-5"/>
                <w:sz w:val="24"/>
              </w:rPr>
              <w:t>Df</w:t>
            </w:r>
          </w:p>
        </w:tc>
        <w:tc>
          <w:tcPr>
            <w:tcW w:w="1769" w:type="dxa"/>
          </w:tcPr>
          <w:p w14:paraId="3F2A4971">
            <w:pPr>
              <w:pStyle w:val="26"/>
              <w:spacing w:before="75"/>
              <w:ind w:right="106"/>
              <w:jc w:val="right"/>
              <w:rPr>
                <w:sz w:val="24"/>
              </w:rPr>
            </w:pPr>
            <w:r>
              <w:rPr>
                <w:spacing w:val="-5"/>
                <w:sz w:val="24"/>
              </w:rPr>
              <w:t>32</w:t>
            </w:r>
          </w:p>
        </w:tc>
        <w:tc>
          <w:tcPr>
            <w:tcW w:w="1587" w:type="dxa"/>
          </w:tcPr>
          <w:p w14:paraId="688EA54D">
            <w:pPr>
              <w:pStyle w:val="26"/>
              <w:spacing w:before="0"/>
              <w:jc w:val="left"/>
            </w:pPr>
          </w:p>
        </w:tc>
      </w:tr>
      <w:tr w14:paraId="239EAA3E">
        <w:tblPrEx>
          <w:tblCellMar>
            <w:top w:w="0" w:type="dxa"/>
            <w:left w:w="0" w:type="dxa"/>
            <w:bottom w:w="0" w:type="dxa"/>
            <w:right w:w="0" w:type="dxa"/>
          </w:tblCellMar>
        </w:tblPrEx>
        <w:trPr>
          <w:trHeight w:val="434" w:hRule="atLeast"/>
          <w:jc w:val="center"/>
        </w:trPr>
        <w:tc>
          <w:tcPr>
            <w:tcW w:w="4063" w:type="dxa"/>
          </w:tcPr>
          <w:p w14:paraId="57CC8D14">
            <w:pPr>
              <w:pStyle w:val="26"/>
              <w:spacing w:before="0" w:line="275" w:lineRule="exact"/>
              <w:ind w:left="118"/>
              <w:jc w:val="left"/>
              <w:rPr>
                <w:sz w:val="24"/>
              </w:rPr>
            </w:pPr>
            <w:r>
              <w:rPr>
                <w:sz w:val="24"/>
              </w:rPr>
              <w:t xml:space="preserve">t </w:t>
            </w:r>
            <w:r>
              <w:rPr>
                <w:spacing w:val="-4"/>
                <w:sz w:val="24"/>
              </w:rPr>
              <w:t>Stat</w:t>
            </w:r>
          </w:p>
        </w:tc>
        <w:tc>
          <w:tcPr>
            <w:tcW w:w="1769" w:type="dxa"/>
            <w:shd w:val="clear" w:color="auto" w:fill="FFFF00"/>
          </w:tcPr>
          <w:p w14:paraId="30F22825">
            <w:pPr>
              <w:pStyle w:val="26"/>
              <w:spacing w:before="0" w:line="275" w:lineRule="exact"/>
              <w:ind w:right="106"/>
              <w:jc w:val="right"/>
              <w:rPr>
                <w:sz w:val="24"/>
              </w:rPr>
            </w:pPr>
            <w:r>
              <w:rPr>
                <w:spacing w:val="-2"/>
                <w:sz w:val="24"/>
              </w:rPr>
              <w:t>3,49453849</w:t>
            </w:r>
          </w:p>
        </w:tc>
        <w:tc>
          <w:tcPr>
            <w:tcW w:w="1587" w:type="dxa"/>
          </w:tcPr>
          <w:p w14:paraId="5DD05008">
            <w:pPr>
              <w:pStyle w:val="26"/>
              <w:spacing w:before="0"/>
              <w:jc w:val="left"/>
            </w:pPr>
          </w:p>
        </w:tc>
      </w:tr>
      <w:tr w14:paraId="7A19E856">
        <w:tblPrEx>
          <w:tblCellMar>
            <w:top w:w="0" w:type="dxa"/>
            <w:left w:w="0" w:type="dxa"/>
            <w:bottom w:w="0" w:type="dxa"/>
            <w:right w:w="0" w:type="dxa"/>
          </w:tblCellMar>
        </w:tblPrEx>
        <w:trPr>
          <w:trHeight w:val="360" w:hRule="atLeast"/>
          <w:jc w:val="center"/>
        </w:trPr>
        <w:tc>
          <w:tcPr>
            <w:tcW w:w="4063" w:type="dxa"/>
          </w:tcPr>
          <w:p w14:paraId="0AFDBC27">
            <w:pPr>
              <w:pStyle w:val="26"/>
              <w:spacing w:before="0" w:line="275" w:lineRule="exact"/>
              <w:ind w:left="118"/>
              <w:jc w:val="left"/>
              <w:rPr>
                <w:sz w:val="24"/>
              </w:rPr>
            </w:pPr>
            <w:r>
              <w:rPr>
                <w:sz w:val="24"/>
              </w:rPr>
              <w:t>P(T&lt;=t)</w:t>
            </w:r>
            <w:r>
              <w:rPr>
                <w:spacing w:val="-3"/>
                <w:sz w:val="24"/>
              </w:rPr>
              <w:t xml:space="preserve"> </w:t>
            </w:r>
            <w:r>
              <w:rPr>
                <w:sz w:val="24"/>
              </w:rPr>
              <w:t>one-</w:t>
            </w:r>
            <w:r>
              <w:rPr>
                <w:spacing w:val="-4"/>
                <w:sz w:val="24"/>
              </w:rPr>
              <w:t>tail</w:t>
            </w:r>
          </w:p>
        </w:tc>
        <w:tc>
          <w:tcPr>
            <w:tcW w:w="1769" w:type="dxa"/>
          </w:tcPr>
          <w:p w14:paraId="2470DCF1">
            <w:pPr>
              <w:pStyle w:val="26"/>
              <w:spacing w:before="0" w:line="275" w:lineRule="exact"/>
              <w:ind w:right="106"/>
              <w:jc w:val="right"/>
              <w:rPr>
                <w:sz w:val="24"/>
              </w:rPr>
            </w:pPr>
            <w:r>
              <w:rPr>
                <w:spacing w:val="-2"/>
                <w:sz w:val="24"/>
              </w:rPr>
              <w:t>0,000706717</w:t>
            </w:r>
          </w:p>
        </w:tc>
        <w:tc>
          <w:tcPr>
            <w:tcW w:w="1587" w:type="dxa"/>
          </w:tcPr>
          <w:p w14:paraId="16E11B46">
            <w:pPr>
              <w:pStyle w:val="26"/>
              <w:spacing w:before="0"/>
              <w:jc w:val="left"/>
            </w:pPr>
          </w:p>
        </w:tc>
      </w:tr>
      <w:tr w14:paraId="48ED11FA">
        <w:tblPrEx>
          <w:tblCellMar>
            <w:top w:w="0" w:type="dxa"/>
            <w:left w:w="0" w:type="dxa"/>
            <w:bottom w:w="0" w:type="dxa"/>
            <w:right w:w="0" w:type="dxa"/>
          </w:tblCellMar>
        </w:tblPrEx>
        <w:trPr>
          <w:trHeight w:val="436" w:hRule="atLeast"/>
          <w:jc w:val="center"/>
        </w:trPr>
        <w:tc>
          <w:tcPr>
            <w:tcW w:w="4063" w:type="dxa"/>
          </w:tcPr>
          <w:p w14:paraId="53CAB8A0">
            <w:pPr>
              <w:pStyle w:val="26"/>
              <w:spacing w:before="75"/>
              <w:ind w:left="118"/>
              <w:jc w:val="left"/>
              <w:rPr>
                <w:sz w:val="24"/>
              </w:rPr>
            </w:pPr>
            <w:r>
              <w:rPr>
                <w:sz w:val="24"/>
              </w:rPr>
              <w:t>t</w:t>
            </w:r>
            <w:r>
              <w:rPr>
                <w:spacing w:val="-2"/>
                <w:sz w:val="24"/>
              </w:rPr>
              <w:t xml:space="preserve"> </w:t>
            </w:r>
            <w:r>
              <w:rPr>
                <w:sz w:val="24"/>
              </w:rPr>
              <w:t>Critical</w:t>
            </w:r>
            <w:r>
              <w:rPr>
                <w:spacing w:val="-2"/>
                <w:sz w:val="24"/>
              </w:rPr>
              <w:t xml:space="preserve"> </w:t>
            </w:r>
            <w:r>
              <w:rPr>
                <w:sz w:val="24"/>
              </w:rPr>
              <w:t>one-</w:t>
            </w:r>
            <w:r>
              <w:rPr>
                <w:spacing w:val="-4"/>
                <w:sz w:val="24"/>
              </w:rPr>
              <w:t>tail</w:t>
            </w:r>
          </w:p>
        </w:tc>
        <w:tc>
          <w:tcPr>
            <w:tcW w:w="1769" w:type="dxa"/>
          </w:tcPr>
          <w:p w14:paraId="77CF2D78">
            <w:pPr>
              <w:pStyle w:val="26"/>
              <w:spacing w:before="75"/>
              <w:ind w:right="106"/>
              <w:jc w:val="right"/>
              <w:rPr>
                <w:sz w:val="24"/>
              </w:rPr>
            </w:pPr>
            <w:r>
              <w:rPr>
                <w:spacing w:val="-2"/>
                <w:sz w:val="24"/>
              </w:rPr>
              <w:t>1,693888748</w:t>
            </w:r>
          </w:p>
        </w:tc>
        <w:tc>
          <w:tcPr>
            <w:tcW w:w="1587" w:type="dxa"/>
          </w:tcPr>
          <w:p w14:paraId="144FB1F1">
            <w:pPr>
              <w:pStyle w:val="26"/>
              <w:spacing w:before="0"/>
              <w:jc w:val="left"/>
            </w:pPr>
          </w:p>
        </w:tc>
      </w:tr>
      <w:tr w14:paraId="4689AEC3">
        <w:tblPrEx>
          <w:tblCellMar>
            <w:top w:w="0" w:type="dxa"/>
            <w:left w:w="0" w:type="dxa"/>
            <w:bottom w:w="0" w:type="dxa"/>
            <w:right w:w="0" w:type="dxa"/>
          </w:tblCellMar>
        </w:tblPrEx>
        <w:trPr>
          <w:trHeight w:val="510" w:hRule="atLeast"/>
          <w:jc w:val="center"/>
        </w:trPr>
        <w:tc>
          <w:tcPr>
            <w:tcW w:w="4063" w:type="dxa"/>
          </w:tcPr>
          <w:p w14:paraId="495403BF">
            <w:pPr>
              <w:pStyle w:val="26"/>
              <w:spacing w:before="75"/>
              <w:ind w:left="118"/>
              <w:jc w:val="left"/>
              <w:rPr>
                <w:sz w:val="24"/>
              </w:rPr>
            </w:pPr>
            <w:r>
              <w:rPr>
                <w:sz w:val="24"/>
              </w:rPr>
              <w:t>P(T&lt;=t)</w:t>
            </w:r>
            <w:r>
              <w:rPr>
                <w:spacing w:val="-4"/>
                <w:sz w:val="24"/>
              </w:rPr>
              <w:t xml:space="preserve"> </w:t>
            </w:r>
            <w:r>
              <w:rPr>
                <w:sz w:val="24"/>
              </w:rPr>
              <w:t>two-</w:t>
            </w:r>
            <w:r>
              <w:rPr>
                <w:spacing w:val="-4"/>
                <w:sz w:val="24"/>
              </w:rPr>
              <w:t>tail</w:t>
            </w:r>
          </w:p>
        </w:tc>
        <w:tc>
          <w:tcPr>
            <w:tcW w:w="1769" w:type="dxa"/>
          </w:tcPr>
          <w:p w14:paraId="510D7D7E">
            <w:pPr>
              <w:pStyle w:val="26"/>
              <w:spacing w:before="75"/>
              <w:ind w:right="106"/>
              <w:jc w:val="right"/>
              <w:rPr>
                <w:sz w:val="24"/>
              </w:rPr>
            </w:pPr>
            <w:r>
              <w:rPr>
                <w:spacing w:val="-2"/>
                <w:sz w:val="24"/>
              </w:rPr>
              <w:t>0,001413433</w:t>
            </w:r>
          </w:p>
        </w:tc>
        <w:tc>
          <w:tcPr>
            <w:tcW w:w="1587" w:type="dxa"/>
          </w:tcPr>
          <w:p w14:paraId="6D6AA4A8">
            <w:pPr>
              <w:pStyle w:val="26"/>
              <w:spacing w:before="0"/>
              <w:jc w:val="left"/>
            </w:pPr>
          </w:p>
        </w:tc>
      </w:tr>
      <w:tr w14:paraId="6113CD92">
        <w:tblPrEx>
          <w:tblCellMar>
            <w:top w:w="0" w:type="dxa"/>
            <w:left w:w="0" w:type="dxa"/>
            <w:bottom w:w="0" w:type="dxa"/>
            <w:right w:w="0" w:type="dxa"/>
          </w:tblCellMar>
        </w:tblPrEx>
        <w:trPr>
          <w:trHeight w:val="436" w:hRule="atLeast"/>
          <w:jc w:val="center"/>
        </w:trPr>
        <w:tc>
          <w:tcPr>
            <w:tcW w:w="4063" w:type="dxa"/>
            <w:tcBorders>
              <w:bottom w:val="single" w:color="000000" w:sz="8" w:space="0"/>
            </w:tcBorders>
          </w:tcPr>
          <w:p w14:paraId="308B81C5">
            <w:pPr>
              <w:pStyle w:val="26"/>
              <w:spacing w:before="0" w:line="275" w:lineRule="exact"/>
              <w:ind w:left="118"/>
              <w:jc w:val="left"/>
              <w:rPr>
                <w:sz w:val="24"/>
              </w:rPr>
            </w:pPr>
            <w:r>
              <w:rPr>
                <w:sz w:val="24"/>
              </w:rPr>
              <w:t>t</w:t>
            </w:r>
            <w:r>
              <w:rPr>
                <w:spacing w:val="-2"/>
                <w:sz w:val="24"/>
              </w:rPr>
              <w:t xml:space="preserve"> </w:t>
            </w:r>
            <w:r>
              <w:rPr>
                <w:sz w:val="24"/>
              </w:rPr>
              <w:t>Critical</w:t>
            </w:r>
            <w:r>
              <w:rPr>
                <w:spacing w:val="-2"/>
                <w:sz w:val="24"/>
              </w:rPr>
              <w:t xml:space="preserve"> </w:t>
            </w:r>
            <w:r>
              <w:rPr>
                <w:sz w:val="24"/>
              </w:rPr>
              <w:t>two-</w:t>
            </w:r>
            <w:r>
              <w:rPr>
                <w:spacing w:val="-4"/>
                <w:sz w:val="24"/>
              </w:rPr>
              <w:t>tail</w:t>
            </w:r>
          </w:p>
        </w:tc>
        <w:tc>
          <w:tcPr>
            <w:tcW w:w="1769" w:type="dxa"/>
            <w:tcBorders>
              <w:bottom w:val="single" w:color="000000" w:sz="8" w:space="0"/>
            </w:tcBorders>
            <w:shd w:val="clear" w:color="auto" w:fill="FFFF00"/>
          </w:tcPr>
          <w:p w14:paraId="3678E0C3">
            <w:pPr>
              <w:pStyle w:val="26"/>
              <w:spacing w:before="0" w:line="275" w:lineRule="exact"/>
              <w:ind w:right="106"/>
              <w:jc w:val="right"/>
              <w:rPr>
                <w:sz w:val="24"/>
              </w:rPr>
            </w:pPr>
            <w:r>
              <w:rPr>
                <w:spacing w:val="-2"/>
                <w:sz w:val="24"/>
              </w:rPr>
              <w:t>2,036933343</w:t>
            </w:r>
          </w:p>
        </w:tc>
        <w:tc>
          <w:tcPr>
            <w:tcW w:w="1587" w:type="dxa"/>
            <w:tcBorders>
              <w:bottom w:val="single" w:color="000000" w:sz="8" w:space="0"/>
            </w:tcBorders>
          </w:tcPr>
          <w:p w14:paraId="241C2FE8">
            <w:pPr>
              <w:pStyle w:val="26"/>
              <w:spacing w:before="0"/>
              <w:jc w:val="left"/>
            </w:pPr>
          </w:p>
        </w:tc>
      </w:tr>
    </w:tbl>
    <w:p w14:paraId="008272CE">
      <w:pPr>
        <w:pStyle w:val="10"/>
        <w:spacing w:before="1"/>
        <w:ind w:firstLine="567"/>
        <w:jc w:val="both"/>
      </w:pPr>
      <w:r>
        <w:t>Berdasarkan</w:t>
      </w:r>
      <w:r>
        <w:rPr>
          <w:spacing w:val="71"/>
        </w:rPr>
        <w:t xml:space="preserve"> </w:t>
      </w:r>
      <w:r>
        <w:t>Gambar</w:t>
      </w:r>
      <w:r>
        <w:rPr>
          <w:spacing w:val="71"/>
        </w:rPr>
        <w:t xml:space="preserve"> </w:t>
      </w:r>
      <w:r>
        <w:t>4.9,</w:t>
      </w:r>
      <w:r>
        <w:rPr>
          <w:spacing w:val="72"/>
        </w:rPr>
        <w:t xml:space="preserve"> </w:t>
      </w:r>
      <w:r>
        <w:t>diperoleh</w:t>
      </w:r>
      <w:r>
        <w:rPr>
          <w:spacing w:val="71"/>
        </w:rPr>
        <w:t xml:space="preserve"> </w:t>
      </w:r>
      <w:r>
        <w:t>nilai</w:t>
      </w:r>
      <w:r>
        <w:rPr>
          <w:spacing w:val="75"/>
        </w:rPr>
        <w:t xml:space="preserve"> </w:t>
      </w:r>
      <w:r>
        <w:rPr>
          <w:rFonts w:ascii="Cambria Math" w:hAnsi="Cambria Math" w:eastAsia="Cambria Math"/>
        </w:rPr>
        <w:t>𝑡</w:t>
      </w:r>
      <w:r>
        <w:rPr>
          <w:rFonts w:ascii="Cambria Math" w:hAnsi="Cambria Math" w:eastAsia="Cambria Math"/>
          <w:vertAlign w:val="subscript"/>
        </w:rPr>
        <w:t>ℎ𝑖𝑡𝑢𝑛𝑔</w:t>
      </w:r>
      <w:r>
        <w:t>sebesar</w:t>
      </w:r>
      <w:r>
        <w:rPr>
          <w:spacing w:val="71"/>
        </w:rPr>
        <w:t xml:space="preserve"> </w:t>
      </w:r>
      <w:r>
        <w:t>3,49</w:t>
      </w:r>
      <w:r>
        <w:rPr>
          <w:spacing w:val="72"/>
        </w:rPr>
        <w:t xml:space="preserve"> </w:t>
      </w:r>
      <w:r>
        <w:t>dan</w:t>
      </w:r>
      <w:r>
        <w:rPr>
          <w:spacing w:val="72"/>
        </w:rPr>
        <w:t xml:space="preserve"> </w:t>
      </w:r>
      <w:r>
        <w:rPr>
          <w:spacing w:val="-2"/>
        </w:rPr>
        <w:t>nilai</w:t>
      </w:r>
    </w:p>
    <w:p w14:paraId="7155BEDE">
      <w:pPr>
        <w:pStyle w:val="10"/>
        <w:spacing w:before="170" w:line="364" w:lineRule="auto"/>
        <w:ind w:right="281" w:firstLine="567"/>
        <w:jc w:val="both"/>
      </w:pPr>
      <w:r>
        <w:rPr>
          <w:rFonts w:ascii="Cambria Math" w:hAnsi="Cambria Math" w:eastAsia="Cambria Math"/>
        </w:rPr>
        <w:t>𝑡</w:t>
      </w:r>
      <w:r>
        <w:rPr>
          <w:rFonts w:ascii="Cambria Math" w:hAnsi="Cambria Math" w:eastAsia="Cambria Math"/>
          <w:vertAlign w:val="subscript"/>
        </w:rPr>
        <w:t>𝑡𝑎𝑏𝑒𝑙</w:t>
      </w:r>
      <w:r>
        <w:t xml:space="preserve">sebesar 2,03. Karena nilai </w:t>
      </w:r>
      <w:r>
        <w:rPr>
          <w:rFonts w:ascii="Cambria Math" w:hAnsi="Cambria Math" w:eastAsia="Cambria Math"/>
        </w:rPr>
        <w:t>𝑡</w:t>
      </w:r>
      <w:r>
        <w:rPr>
          <w:rFonts w:ascii="Cambria Math" w:hAnsi="Cambria Math" w:eastAsia="Cambria Math"/>
          <w:vertAlign w:val="subscript"/>
        </w:rPr>
        <w:t>ℎ𝑖𝑡𝑢𝑛𝑔</w:t>
      </w:r>
      <w:r>
        <w:rPr>
          <w:rFonts w:ascii="Cambria Math" w:hAnsi="Cambria Math" w:eastAsia="Cambria Math"/>
        </w:rPr>
        <w:t xml:space="preserve"> &gt; 𝑡</w:t>
      </w:r>
      <w:r>
        <w:rPr>
          <w:rFonts w:ascii="Cambria Math" w:hAnsi="Cambria Math" w:eastAsia="Cambria Math"/>
          <w:vertAlign w:val="subscript"/>
        </w:rPr>
        <w:t>𝑡𝑎𝑏𝑒𝑙</w:t>
      </w:r>
      <w:r>
        <w:t>(3,49 &gt; 2,03), maka hipotesis alternatif (</w:t>
      </w:r>
      <w:r>
        <w:rPr>
          <w:rFonts w:ascii="Cambria Math" w:hAnsi="Cambria Math" w:eastAsia="Cambria Math"/>
        </w:rPr>
        <w:t>𝐻</w:t>
      </w:r>
      <w:r>
        <w:rPr>
          <w:rFonts w:ascii="Cambria Math" w:hAnsi="Cambria Math" w:eastAsia="Cambria Math"/>
          <w:vertAlign w:val="subscript"/>
        </w:rPr>
        <w:t>𝑎</w:t>
      </w:r>
      <w:r>
        <w:t>) diterima. Dengan demikian, dapat disimpulkan bahwa terdapat pengaruh yang signifikan dari penggunaan media papan perkalian terhadap hasil belajar siswa pada mata pelajaran Matematika di kelas III SD Negeri 053963 Raja Tengah Tahun Pelajaran 2025/2026.</w:t>
      </w:r>
    </w:p>
    <w:p w14:paraId="7E2EE19D">
      <w:pPr>
        <w:pStyle w:val="2"/>
        <w:spacing w:line="360" w:lineRule="auto"/>
        <w:ind w:left="0" w:right="1952"/>
        <w:jc w:val="left"/>
        <w:rPr>
          <w:sz w:val="24"/>
        </w:rPr>
      </w:pPr>
      <w:bookmarkStart w:id="2" w:name="_TOC_250003"/>
    </w:p>
    <w:p w14:paraId="4DAF8A2D">
      <w:pPr>
        <w:pStyle w:val="2"/>
        <w:spacing w:line="360" w:lineRule="auto"/>
        <w:ind w:left="0" w:right="1952"/>
        <w:jc w:val="left"/>
        <w:rPr>
          <w:sz w:val="24"/>
        </w:rPr>
      </w:pPr>
      <w:r>
        <w:rPr>
          <w:sz w:val="24"/>
        </w:rPr>
        <w:t>KESIMPULAN</w:t>
      </w:r>
      <w:r>
        <w:rPr>
          <w:spacing w:val="-18"/>
          <w:sz w:val="24"/>
        </w:rPr>
        <w:t xml:space="preserve"> </w:t>
      </w:r>
      <w:bookmarkEnd w:id="2"/>
    </w:p>
    <w:p w14:paraId="2AF7A5F1">
      <w:pPr>
        <w:pStyle w:val="10"/>
        <w:spacing w:line="360" w:lineRule="auto"/>
        <w:ind w:right="289" w:firstLine="709"/>
        <w:jc w:val="both"/>
        <w:rPr>
          <w:spacing w:val="-2"/>
        </w:rPr>
      </w:pPr>
      <w:bookmarkStart w:id="3" w:name="_TOC_250002"/>
      <w:bookmarkEnd w:id="3"/>
      <w:r>
        <w:t>Berdasarkan hasil penelitian dan analisis data yang dilaksanakan di Kelas III SD</w:t>
      </w:r>
      <w:r>
        <w:rPr>
          <w:spacing w:val="-17"/>
        </w:rPr>
        <w:t xml:space="preserve"> </w:t>
      </w:r>
      <w:r>
        <w:t>Negeri</w:t>
      </w:r>
      <w:r>
        <w:rPr>
          <w:spacing w:val="-11"/>
        </w:rPr>
        <w:t xml:space="preserve"> </w:t>
      </w:r>
      <w:r>
        <w:t>053963</w:t>
      </w:r>
      <w:r>
        <w:rPr>
          <w:spacing w:val="-12"/>
        </w:rPr>
        <w:t xml:space="preserve"> </w:t>
      </w:r>
      <w:r>
        <w:t>Raja</w:t>
      </w:r>
      <w:r>
        <w:rPr>
          <w:spacing w:val="-12"/>
        </w:rPr>
        <w:t xml:space="preserve"> </w:t>
      </w:r>
      <w:r>
        <w:t>Tengah</w:t>
      </w:r>
      <w:r>
        <w:rPr>
          <w:spacing w:val="-14"/>
        </w:rPr>
        <w:t xml:space="preserve"> </w:t>
      </w:r>
      <w:r>
        <w:t>Tahun</w:t>
      </w:r>
      <w:r>
        <w:rPr>
          <w:spacing w:val="-17"/>
        </w:rPr>
        <w:t xml:space="preserve"> </w:t>
      </w:r>
      <w:r>
        <w:t>Ajaran</w:t>
      </w:r>
      <w:r>
        <w:rPr>
          <w:spacing w:val="-12"/>
        </w:rPr>
        <w:t xml:space="preserve"> </w:t>
      </w:r>
      <w:r>
        <w:t>2025/2026</w:t>
      </w:r>
      <w:r>
        <w:rPr>
          <w:spacing w:val="-11"/>
        </w:rPr>
        <w:t xml:space="preserve"> </w:t>
      </w:r>
      <w:r>
        <w:t>maka</w:t>
      </w:r>
      <w:r>
        <w:rPr>
          <w:spacing w:val="-13"/>
        </w:rPr>
        <w:t xml:space="preserve"> </w:t>
      </w:r>
      <w:r>
        <w:t>dapat</w:t>
      </w:r>
      <w:r>
        <w:rPr>
          <w:spacing w:val="-11"/>
        </w:rPr>
        <w:t xml:space="preserve"> </w:t>
      </w:r>
      <w:r>
        <w:rPr>
          <w:spacing w:val="-2"/>
        </w:rPr>
        <w:t>disimpulkan:</w:t>
      </w:r>
    </w:p>
    <w:p w14:paraId="38B42B68">
      <w:pPr>
        <w:pStyle w:val="10"/>
        <w:spacing w:line="360" w:lineRule="auto"/>
        <w:ind w:right="289" w:firstLine="709"/>
        <w:jc w:val="both"/>
      </w:pPr>
      <w:r>
        <w:t xml:space="preserve">Hasil belajar Matematika siswa tanpa menggunakan media pembelajaran </w:t>
      </w:r>
      <w:r>
        <w:rPr>
          <w:spacing w:val="-2"/>
        </w:rPr>
        <w:t>papan</w:t>
      </w:r>
      <w:r>
        <w:rPr>
          <w:spacing w:val="-7"/>
        </w:rPr>
        <w:t xml:space="preserve"> </w:t>
      </w:r>
      <w:r>
        <w:rPr>
          <w:spacing w:val="-2"/>
        </w:rPr>
        <w:t>perkalian</w:t>
      </w:r>
      <w:r>
        <w:rPr>
          <w:spacing w:val="-7"/>
        </w:rPr>
        <w:t xml:space="preserve"> </w:t>
      </w:r>
      <w:r>
        <w:rPr>
          <w:spacing w:val="-2"/>
        </w:rPr>
        <w:t>di</w:t>
      </w:r>
      <w:r>
        <w:rPr>
          <w:spacing w:val="-7"/>
        </w:rPr>
        <w:t xml:space="preserve"> </w:t>
      </w:r>
      <w:r>
        <w:rPr>
          <w:spacing w:val="-2"/>
        </w:rPr>
        <w:t>kelas</w:t>
      </w:r>
      <w:r>
        <w:rPr>
          <w:spacing w:val="-8"/>
        </w:rPr>
        <w:t xml:space="preserve"> </w:t>
      </w:r>
      <w:r>
        <w:rPr>
          <w:spacing w:val="-2"/>
        </w:rPr>
        <w:t>III</w:t>
      </w:r>
      <w:r>
        <w:rPr>
          <w:spacing w:val="-9"/>
        </w:rPr>
        <w:t xml:space="preserve"> </w:t>
      </w:r>
      <w:r>
        <w:rPr>
          <w:spacing w:val="-2"/>
        </w:rPr>
        <w:t>SD</w:t>
      </w:r>
      <w:r>
        <w:rPr>
          <w:spacing w:val="-8"/>
        </w:rPr>
        <w:t xml:space="preserve"> </w:t>
      </w:r>
      <w:r>
        <w:rPr>
          <w:spacing w:val="-2"/>
        </w:rPr>
        <w:t>Negeri</w:t>
      </w:r>
      <w:r>
        <w:rPr>
          <w:spacing w:val="-8"/>
        </w:rPr>
        <w:t xml:space="preserve"> </w:t>
      </w:r>
      <w:r>
        <w:rPr>
          <w:spacing w:val="-2"/>
        </w:rPr>
        <w:t>053963</w:t>
      </w:r>
      <w:r>
        <w:rPr>
          <w:spacing w:val="-7"/>
        </w:rPr>
        <w:t xml:space="preserve"> </w:t>
      </w:r>
      <w:r>
        <w:rPr>
          <w:spacing w:val="-2"/>
        </w:rPr>
        <w:t>Raja</w:t>
      </w:r>
      <w:r>
        <w:rPr>
          <w:spacing w:val="-13"/>
        </w:rPr>
        <w:t xml:space="preserve"> </w:t>
      </w:r>
      <w:r>
        <w:rPr>
          <w:spacing w:val="-2"/>
        </w:rPr>
        <w:t>Tengah</w:t>
      </w:r>
      <w:r>
        <w:rPr>
          <w:spacing w:val="-12"/>
        </w:rPr>
        <w:t xml:space="preserve"> </w:t>
      </w:r>
      <w:r>
        <w:rPr>
          <w:spacing w:val="-2"/>
        </w:rPr>
        <w:t>Tahun</w:t>
      </w:r>
      <w:r>
        <w:rPr>
          <w:spacing w:val="-7"/>
        </w:rPr>
        <w:t xml:space="preserve"> </w:t>
      </w:r>
      <w:r>
        <w:rPr>
          <w:spacing w:val="-2"/>
        </w:rPr>
        <w:t xml:space="preserve">Pelajaran </w:t>
      </w:r>
      <w:r>
        <w:t>2025/2026 diperoleh nilai rata-rata sebesar 77,14.</w:t>
      </w:r>
    </w:p>
    <w:p w14:paraId="5D10CED0">
      <w:pPr>
        <w:pStyle w:val="10"/>
        <w:spacing w:line="360" w:lineRule="auto"/>
        <w:ind w:right="289" w:firstLine="709"/>
        <w:jc w:val="both"/>
      </w:pPr>
    </w:p>
    <w:p w14:paraId="2FDC3577">
      <w:pPr>
        <w:pStyle w:val="10"/>
        <w:spacing w:line="360" w:lineRule="auto"/>
        <w:ind w:right="289" w:firstLine="709"/>
        <w:jc w:val="both"/>
      </w:pPr>
      <w:r>
        <w:t>Hasil belajar</w:t>
      </w:r>
      <w:r>
        <w:rPr>
          <w:spacing w:val="-1"/>
        </w:rPr>
        <w:t xml:space="preserve"> </w:t>
      </w:r>
      <w:r>
        <w:t>Matematika siswa</w:t>
      </w:r>
      <w:r>
        <w:rPr>
          <w:spacing w:val="-1"/>
        </w:rPr>
        <w:t xml:space="preserve"> </w:t>
      </w:r>
      <w:r>
        <w:t>dengan menggunakan media</w:t>
      </w:r>
      <w:r>
        <w:rPr>
          <w:spacing w:val="-1"/>
        </w:rPr>
        <w:t xml:space="preserve"> </w:t>
      </w:r>
      <w:r>
        <w:t xml:space="preserve">pembelajaran </w:t>
      </w:r>
      <w:r>
        <w:rPr>
          <w:spacing w:val="-2"/>
        </w:rPr>
        <w:t>papan</w:t>
      </w:r>
      <w:r>
        <w:rPr>
          <w:spacing w:val="-7"/>
        </w:rPr>
        <w:t xml:space="preserve"> </w:t>
      </w:r>
      <w:r>
        <w:rPr>
          <w:spacing w:val="-2"/>
        </w:rPr>
        <w:t>perkalian</w:t>
      </w:r>
      <w:r>
        <w:rPr>
          <w:spacing w:val="-7"/>
        </w:rPr>
        <w:t xml:space="preserve"> </w:t>
      </w:r>
      <w:r>
        <w:rPr>
          <w:spacing w:val="-2"/>
        </w:rPr>
        <w:t>di</w:t>
      </w:r>
      <w:r>
        <w:rPr>
          <w:spacing w:val="-7"/>
        </w:rPr>
        <w:t xml:space="preserve"> </w:t>
      </w:r>
      <w:r>
        <w:rPr>
          <w:spacing w:val="-2"/>
        </w:rPr>
        <w:t>kelas</w:t>
      </w:r>
      <w:r>
        <w:rPr>
          <w:spacing w:val="-8"/>
        </w:rPr>
        <w:t xml:space="preserve"> </w:t>
      </w:r>
      <w:r>
        <w:rPr>
          <w:spacing w:val="-2"/>
        </w:rPr>
        <w:t>III</w:t>
      </w:r>
      <w:r>
        <w:rPr>
          <w:spacing w:val="-9"/>
        </w:rPr>
        <w:t xml:space="preserve"> </w:t>
      </w:r>
      <w:r>
        <w:rPr>
          <w:spacing w:val="-2"/>
        </w:rPr>
        <w:t>SD</w:t>
      </w:r>
      <w:r>
        <w:rPr>
          <w:spacing w:val="-8"/>
        </w:rPr>
        <w:t xml:space="preserve"> </w:t>
      </w:r>
      <w:r>
        <w:rPr>
          <w:spacing w:val="-2"/>
        </w:rPr>
        <w:t>Negeri</w:t>
      </w:r>
      <w:r>
        <w:rPr>
          <w:spacing w:val="-8"/>
        </w:rPr>
        <w:t xml:space="preserve"> </w:t>
      </w:r>
      <w:r>
        <w:rPr>
          <w:spacing w:val="-2"/>
        </w:rPr>
        <w:t>053963</w:t>
      </w:r>
      <w:r>
        <w:rPr>
          <w:spacing w:val="-7"/>
        </w:rPr>
        <w:t xml:space="preserve"> </w:t>
      </w:r>
      <w:r>
        <w:rPr>
          <w:spacing w:val="-2"/>
        </w:rPr>
        <w:t>Raja</w:t>
      </w:r>
      <w:r>
        <w:rPr>
          <w:spacing w:val="-13"/>
        </w:rPr>
        <w:t xml:space="preserve"> </w:t>
      </w:r>
      <w:r>
        <w:rPr>
          <w:spacing w:val="-2"/>
        </w:rPr>
        <w:t>Tengah</w:t>
      </w:r>
      <w:r>
        <w:rPr>
          <w:spacing w:val="-12"/>
        </w:rPr>
        <w:t xml:space="preserve"> </w:t>
      </w:r>
      <w:r>
        <w:rPr>
          <w:spacing w:val="-2"/>
        </w:rPr>
        <w:t>Tahun</w:t>
      </w:r>
      <w:r>
        <w:rPr>
          <w:spacing w:val="-7"/>
        </w:rPr>
        <w:t xml:space="preserve"> </w:t>
      </w:r>
      <w:r>
        <w:rPr>
          <w:spacing w:val="-2"/>
        </w:rPr>
        <w:t xml:space="preserve">Pelajaran </w:t>
      </w:r>
      <w:r>
        <w:t>2025/2026 diperoleh nilai rata-rata yang lebih tinggi yaitu 92,00.</w:t>
      </w:r>
    </w:p>
    <w:p w14:paraId="01DCF594">
      <w:pPr>
        <w:pStyle w:val="10"/>
        <w:spacing w:line="360" w:lineRule="auto"/>
        <w:ind w:right="289" w:firstLine="709"/>
        <w:jc w:val="both"/>
      </w:pPr>
      <w:r>
        <w:t>Terdapat pengaruh yang signifikan penggunaan media papan perkalian terhadap hasil belajar</w:t>
      </w:r>
      <w:r>
        <w:rPr>
          <w:spacing w:val="40"/>
        </w:rPr>
        <w:t xml:space="preserve"> </w:t>
      </w:r>
      <w:r>
        <w:t xml:space="preserve">matematika siswa kelas III SD Negeri 053963 Raja </w:t>
      </w:r>
      <w:r>
        <w:rPr>
          <w:spacing w:val="-2"/>
          <w:position w:val="2"/>
        </w:rPr>
        <w:t>Tengah</w:t>
      </w:r>
      <w:r>
        <w:rPr>
          <w:spacing w:val="-13"/>
          <w:position w:val="2"/>
        </w:rPr>
        <w:t xml:space="preserve"> </w:t>
      </w:r>
      <w:r>
        <w:rPr>
          <w:spacing w:val="-2"/>
          <w:position w:val="2"/>
        </w:rPr>
        <w:t>T.P</w:t>
      </w:r>
      <w:r>
        <w:rPr>
          <w:spacing w:val="-13"/>
          <w:position w:val="2"/>
        </w:rPr>
        <w:t xml:space="preserve"> </w:t>
      </w:r>
      <w:r>
        <w:rPr>
          <w:spacing w:val="-2"/>
          <w:position w:val="2"/>
        </w:rPr>
        <w:t>2025/2026</w:t>
      </w:r>
      <w:r>
        <w:rPr>
          <w:spacing w:val="-7"/>
          <w:position w:val="2"/>
        </w:rPr>
        <w:t xml:space="preserve"> </w:t>
      </w:r>
      <w:r>
        <w:rPr>
          <w:spacing w:val="-2"/>
          <w:position w:val="2"/>
        </w:rPr>
        <w:t>dengan</w:t>
      </w:r>
      <w:r>
        <w:rPr>
          <w:spacing w:val="-7"/>
          <w:position w:val="2"/>
        </w:rPr>
        <w:t xml:space="preserve"> </w:t>
      </w:r>
      <w:r>
        <w:rPr>
          <w:spacing w:val="-2"/>
          <w:position w:val="2"/>
        </w:rPr>
        <w:t>nilai</w:t>
      </w:r>
      <w:r>
        <w:rPr>
          <w:spacing w:val="-7"/>
          <w:position w:val="2"/>
        </w:rPr>
        <w:t xml:space="preserve"> </w:t>
      </w:r>
      <w:r>
        <w:rPr>
          <w:spacing w:val="-2"/>
          <w:position w:val="2"/>
        </w:rPr>
        <w:t>t</w:t>
      </w:r>
      <w:r>
        <w:rPr>
          <w:spacing w:val="-2"/>
          <w:sz w:val="16"/>
        </w:rPr>
        <w:t xml:space="preserve">hitung </w:t>
      </w:r>
      <w:r>
        <w:rPr>
          <w:spacing w:val="-2"/>
          <w:position w:val="2"/>
        </w:rPr>
        <w:t>&gt;</w:t>
      </w:r>
      <w:r>
        <w:rPr>
          <w:spacing w:val="-8"/>
          <w:position w:val="2"/>
        </w:rPr>
        <w:t xml:space="preserve"> </w:t>
      </w:r>
      <w:r>
        <w:rPr>
          <w:spacing w:val="-2"/>
          <w:position w:val="2"/>
        </w:rPr>
        <w:t>t</w:t>
      </w:r>
      <w:r>
        <w:rPr>
          <w:spacing w:val="-2"/>
          <w:sz w:val="16"/>
        </w:rPr>
        <w:t>tabel</w:t>
      </w:r>
      <w:r>
        <w:rPr>
          <w:spacing w:val="14"/>
          <w:sz w:val="16"/>
        </w:rPr>
        <w:t xml:space="preserve"> </w:t>
      </w:r>
      <w:r>
        <w:rPr>
          <w:spacing w:val="-2"/>
          <w:position w:val="2"/>
        </w:rPr>
        <w:t>atau</w:t>
      </w:r>
      <w:r>
        <w:rPr>
          <w:spacing w:val="-7"/>
          <w:position w:val="2"/>
        </w:rPr>
        <w:t xml:space="preserve"> </w:t>
      </w:r>
      <w:r>
        <w:rPr>
          <w:spacing w:val="-2"/>
          <w:position w:val="2"/>
        </w:rPr>
        <w:t>3,49&gt;</w:t>
      </w:r>
      <w:r>
        <w:rPr>
          <w:spacing w:val="-8"/>
          <w:position w:val="2"/>
        </w:rPr>
        <w:t xml:space="preserve"> </w:t>
      </w:r>
      <w:r>
        <w:rPr>
          <w:spacing w:val="-2"/>
          <w:position w:val="2"/>
        </w:rPr>
        <w:t>2,03</w:t>
      </w:r>
      <w:r>
        <w:rPr>
          <w:spacing w:val="-7"/>
          <w:position w:val="2"/>
        </w:rPr>
        <w:t xml:space="preserve"> </w:t>
      </w:r>
      <w:r>
        <w:rPr>
          <w:spacing w:val="-2"/>
          <w:position w:val="2"/>
        </w:rPr>
        <w:t>maka</w:t>
      </w:r>
      <w:r>
        <w:rPr>
          <w:spacing w:val="-9"/>
          <w:position w:val="2"/>
        </w:rPr>
        <w:t xml:space="preserve"> </w:t>
      </w:r>
      <w:r>
        <w:rPr>
          <w:spacing w:val="-2"/>
          <w:position w:val="2"/>
        </w:rPr>
        <w:t xml:space="preserve">terima </w:t>
      </w:r>
      <w:r>
        <w:rPr>
          <w:spacing w:val="-4"/>
          <w:position w:val="2"/>
        </w:rPr>
        <w:t>H</w:t>
      </w:r>
      <w:r>
        <w:rPr>
          <w:spacing w:val="-4"/>
          <w:sz w:val="16"/>
        </w:rPr>
        <w:t>a.</w:t>
      </w:r>
    </w:p>
    <w:p w14:paraId="786051F7">
      <w:pPr>
        <w:pStyle w:val="10"/>
        <w:spacing w:before="8"/>
      </w:pPr>
      <w:bookmarkStart w:id="4" w:name="_TOC_250001"/>
      <w:bookmarkEnd w:id="4"/>
    </w:p>
    <w:p w14:paraId="51D5B0EC">
      <w:pPr>
        <w:pStyle w:val="2"/>
        <w:ind w:left="0"/>
        <w:jc w:val="left"/>
        <w:rPr>
          <w:sz w:val="24"/>
        </w:rPr>
      </w:pPr>
      <w:bookmarkStart w:id="5" w:name="_TOC_250000"/>
      <w:r>
        <w:rPr>
          <w:spacing w:val="-4"/>
          <w:sz w:val="24"/>
        </w:rPr>
        <w:t>DAFTAR</w:t>
      </w:r>
      <w:r>
        <w:rPr>
          <w:spacing w:val="-5"/>
          <w:sz w:val="24"/>
        </w:rPr>
        <w:t xml:space="preserve"> </w:t>
      </w:r>
      <w:bookmarkEnd w:id="5"/>
      <w:r>
        <w:rPr>
          <w:spacing w:val="-2"/>
          <w:sz w:val="24"/>
        </w:rPr>
        <w:t>PUSTAKA</w:t>
      </w:r>
    </w:p>
    <w:p w14:paraId="140FAB21">
      <w:pPr>
        <w:spacing w:before="180" w:after="240"/>
        <w:ind w:left="709" w:hanging="709"/>
        <w:jc w:val="both"/>
        <w:rPr>
          <w:color w:val="000000" w:themeColor="text1"/>
          <w:sz w:val="24"/>
          <w:szCs w:val="24"/>
          <w14:textFill>
            <w14:solidFill>
              <w14:schemeClr w14:val="tx1"/>
            </w14:solidFill>
          </w14:textFill>
        </w:rPr>
      </w:pPr>
      <w:r>
        <w:rPr>
          <w:sz w:val="24"/>
          <w:szCs w:val="24"/>
        </w:rPr>
        <w:t xml:space="preserve">Babakr,Z.,H., Mohamedamin, P. And Kakamad, K. (2019) ‘Piaget’s Cognitive Developmental Theory: Critical Review’, </w:t>
      </w:r>
      <w:r>
        <w:rPr>
          <w:i/>
          <w:sz w:val="24"/>
          <w:szCs w:val="24"/>
        </w:rPr>
        <w:t xml:space="preserve">Education Quartely Reviews </w:t>
      </w:r>
      <w:r>
        <w:rPr>
          <w:color w:val="000000" w:themeColor="text1"/>
          <w:sz w:val="24"/>
          <w:szCs w:val="24"/>
          <w14:textFill>
            <w14:solidFill>
              <w14:schemeClr w14:val="tx1"/>
            </w14:solidFill>
          </w14:textFill>
        </w:rPr>
        <w:t xml:space="preserve">[Preprint]. Available at: </w:t>
      </w:r>
      <w:r>
        <w:fldChar w:fldCharType="begin"/>
      </w:r>
      <w:r>
        <w:instrText xml:space="preserve"> HYPERLINK "https://doi.org/10.31014/aior.1993.02.03.84" </w:instrText>
      </w:r>
      <w:r>
        <w:fldChar w:fldCharType="separate"/>
      </w:r>
      <w:r>
        <w:rPr>
          <w:rStyle w:val="14"/>
          <w:color w:val="000000" w:themeColor="text1"/>
          <w:sz w:val="24"/>
          <w:szCs w:val="24"/>
          <w:u w:val="none"/>
          <w14:textFill>
            <w14:solidFill>
              <w14:schemeClr w14:val="tx1"/>
            </w14:solidFill>
          </w14:textFill>
        </w:rPr>
        <w:t>https://doi.org/10.31014/aior.1993.02.03.84</w:t>
      </w:r>
      <w:r>
        <w:rPr>
          <w:rStyle w:val="14"/>
          <w:color w:val="000000" w:themeColor="text1"/>
          <w:sz w:val="24"/>
          <w:szCs w:val="24"/>
          <w:u w:val="none"/>
          <w14:textFill>
            <w14:solidFill>
              <w14:schemeClr w14:val="tx1"/>
            </w14:solidFill>
          </w14:textFill>
        </w:rPr>
        <w:fldChar w:fldCharType="end"/>
      </w:r>
      <w:r>
        <w:rPr>
          <w:color w:val="000000" w:themeColor="text1"/>
          <w:sz w:val="24"/>
          <w:szCs w:val="24"/>
          <w14:textFill>
            <w14:solidFill>
              <w14:schemeClr w14:val="tx1"/>
            </w14:solidFill>
          </w14:textFill>
        </w:rPr>
        <w:t>.</w:t>
      </w:r>
    </w:p>
    <w:p w14:paraId="1537F96A">
      <w:pPr>
        <w:spacing w:before="180" w:after="240"/>
        <w:ind w:left="709" w:hanging="709"/>
        <w:jc w:val="both"/>
        <w:rPr>
          <w:sz w:val="24"/>
          <w:szCs w:val="24"/>
        </w:rPr>
      </w:pPr>
      <w:r>
        <w:rPr>
          <w:sz w:val="24"/>
          <w:szCs w:val="24"/>
        </w:rPr>
        <w:t xml:space="preserve">Palpialy,J.J. and Nurlaelah, E.(2015) ‘Pengembangan Desain Didaktis Materi Pecahan pada Sekolah Menegah Pertama (SMP)’ </w:t>
      </w:r>
      <w:r>
        <w:rPr>
          <w:i/>
          <w:sz w:val="24"/>
          <w:szCs w:val="24"/>
        </w:rPr>
        <w:t xml:space="preserve">Jurnal Matematika Integratif </w:t>
      </w:r>
      <w:r>
        <w:rPr>
          <w:sz w:val="24"/>
          <w:szCs w:val="24"/>
        </w:rPr>
        <w:t>[Preprint]. Available at:</w:t>
      </w:r>
      <w:r>
        <w:rPr>
          <w:rFonts w:hint="default"/>
          <w:sz w:val="24"/>
          <w:szCs w:val="24"/>
          <w:lang w:val="en-US"/>
        </w:rPr>
        <w:t xml:space="preserve"> </w:t>
      </w:r>
      <w:r>
        <w:rPr>
          <w:sz w:val="24"/>
          <w:szCs w:val="24"/>
        </w:rPr>
        <w:fldChar w:fldCharType="begin"/>
      </w:r>
      <w:r>
        <w:rPr>
          <w:sz w:val="24"/>
          <w:szCs w:val="24"/>
        </w:rPr>
        <w:instrText xml:space="preserve"> HYPERLINK "https://doi.org/10.24198/jmi.v.11.n2.9425.127-136." </w:instrText>
      </w:r>
      <w:r>
        <w:rPr>
          <w:sz w:val="24"/>
          <w:szCs w:val="24"/>
        </w:rPr>
        <w:fldChar w:fldCharType="separate"/>
      </w:r>
      <w:r>
        <w:rPr>
          <w:rStyle w:val="14"/>
          <w:sz w:val="24"/>
          <w:szCs w:val="24"/>
        </w:rPr>
        <w:t>https://doi.org/10.24198/jmi.v.11.n2.9425.127-136.</w:t>
      </w:r>
      <w:r>
        <w:rPr>
          <w:sz w:val="24"/>
          <w:szCs w:val="24"/>
        </w:rPr>
        <w:fldChar w:fldCharType="end"/>
      </w:r>
      <w:bookmarkStart w:id="6" w:name="_GoBack"/>
      <w:bookmarkEnd w:id="6"/>
    </w:p>
    <w:p w14:paraId="62686864">
      <w:pPr>
        <w:spacing w:before="180" w:after="240"/>
        <w:ind w:left="709" w:hanging="709"/>
        <w:jc w:val="both"/>
        <w:rPr>
          <w:spacing w:val="-2"/>
          <w:sz w:val="24"/>
          <w:szCs w:val="24"/>
        </w:rPr>
      </w:pPr>
      <w:r>
        <w:rPr>
          <w:sz w:val="24"/>
          <w:szCs w:val="24"/>
        </w:rPr>
        <w:t>Sudjana,</w:t>
      </w:r>
      <w:r>
        <w:rPr>
          <w:spacing w:val="-3"/>
          <w:sz w:val="24"/>
          <w:szCs w:val="24"/>
        </w:rPr>
        <w:t xml:space="preserve"> </w:t>
      </w:r>
      <w:r>
        <w:rPr>
          <w:sz w:val="24"/>
          <w:szCs w:val="24"/>
        </w:rPr>
        <w:t>N.</w:t>
      </w:r>
      <w:r>
        <w:rPr>
          <w:spacing w:val="-1"/>
          <w:sz w:val="24"/>
          <w:szCs w:val="24"/>
        </w:rPr>
        <w:t xml:space="preserve"> </w:t>
      </w:r>
      <w:r>
        <w:rPr>
          <w:sz w:val="24"/>
          <w:szCs w:val="24"/>
        </w:rPr>
        <w:t>(2021).</w:t>
      </w:r>
      <w:r>
        <w:rPr>
          <w:spacing w:val="-1"/>
          <w:sz w:val="24"/>
          <w:szCs w:val="24"/>
        </w:rPr>
        <w:t xml:space="preserve"> </w:t>
      </w:r>
      <w:r>
        <w:rPr>
          <w:i/>
          <w:sz w:val="24"/>
          <w:szCs w:val="24"/>
        </w:rPr>
        <w:t>Metode</w:t>
      </w:r>
      <w:r>
        <w:rPr>
          <w:i/>
          <w:spacing w:val="-2"/>
          <w:sz w:val="24"/>
          <w:szCs w:val="24"/>
        </w:rPr>
        <w:t xml:space="preserve"> </w:t>
      </w:r>
      <w:r>
        <w:rPr>
          <w:i/>
          <w:sz w:val="24"/>
          <w:szCs w:val="24"/>
        </w:rPr>
        <w:t>Penelitian</w:t>
      </w:r>
      <w:r>
        <w:rPr>
          <w:i/>
          <w:spacing w:val="-1"/>
          <w:sz w:val="24"/>
          <w:szCs w:val="24"/>
        </w:rPr>
        <w:t xml:space="preserve"> </w:t>
      </w:r>
      <w:r>
        <w:rPr>
          <w:i/>
          <w:sz w:val="24"/>
          <w:szCs w:val="24"/>
        </w:rPr>
        <w:t xml:space="preserve">Statistika. </w:t>
      </w:r>
      <w:r>
        <w:rPr>
          <w:sz w:val="24"/>
          <w:szCs w:val="24"/>
        </w:rPr>
        <w:t>Bandung:</w:t>
      </w:r>
      <w:r>
        <w:rPr>
          <w:spacing w:val="-5"/>
          <w:sz w:val="24"/>
          <w:szCs w:val="24"/>
        </w:rPr>
        <w:t xml:space="preserve"> </w:t>
      </w:r>
      <w:r>
        <w:rPr>
          <w:spacing w:val="-2"/>
          <w:sz w:val="24"/>
          <w:szCs w:val="24"/>
        </w:rPr>
        <w:t>Tarsito.</w:t>
      </w:r>
    </w:p>
    <w:p w14:paraId="33FFDCBC">
      <w:pPr>
        <w:spacing w:after="240" w:line="360" w:lineRule="auto"/>
        <w:jc w:val="both"/>
        <w:rPr>
          <w:sz w:val="24"/>
          <w:szCs w:val="24"/>
        </w:rPr>
      </w:pPr>
      <w:r>
        <w:rPr>
          <w:sz w:val="24"/>
          <w:szCs w:val="24"/>
        </w:rPr>
        <w:t>Sugiyono.2023.</w:t>
      </w:r>
      <w:r>
        <w:rPr>
          <w:i/>
          <w:sz w:val="24"/>
          <w:szCs w:val="24"/>
        </w:rPr>
        <w:t>Statistika untuk Penelitian.</w:t>
      </w:r>
      <w:r>
        <w:rPr>
          <w:sz w:val="24"/>
          <w:szCs w:val="24"/>
        </w:rPr>
        <w:t xml:space="preserve"> Bandung: Alfa Beta.</w:t>
      </w:r>
    </w:p>
    <w:p w14:paraId="44339639">
      <w:pPr>
        <w:spacing w:line="259" w:lineRule="auto"/>
        <w:ind w:left="709" w:hanging="709"/>
        <w:jc w:val="both"/>
        <w:rPr>
          <w:sz w:val="24"/>
        </w:rPr>
      </w:pPr>
    </w:p>
    <w:sectPr>
      <w:headerReference r:id="rId3" w:type="default"/>
      <w:pgSz w:w="11910" w:h="16840"/>
      <w:pgMar w:top="2268" w:right="1701" w:bottom="1701" w:left="2268" w:header="714"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5448300</wp:posOffset>
          </wp:positionH>
          <wp:positionV relativeFrom="page">
            <wp:posOffset>256540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08B9AE78">
    <w:pPr>
      <w:pStyle w:val="10"/>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772BE"/>
    <w:rsid w:val="00013E23"/>
    <w:rsid w:val="000627E4"/>
    <w:rsid w:val="001D2065"/>
    <w:rsid w:val="00202B83"/>
    <w:rsid w:val="00214115"/>
    <w:rsid w:val="00261B32"/>
    <w:rsid w:val="002772BE"/>
    <w:rsid w:val="003217D5"/>
    <w:rsid w:val="003D6050"/>
    <w:rsid w:val="003E0E39"/>
    <w:rsid w:val="0042256C"/>
    <w:rsid w:val="004B5FF5"/>
    <w:rsid w:val="00526B29"/>
    <w:rsid w:val="005517C3"/>
    <w:rsid w:val="007E1DC7"/>
    <w:rsid w:val="00803806"/>
    <w:rsid w:val="008A2D45"/>
    <w:rsid w:val="00A628AC"/>
    <w:rsid w:val="00C02374"/>
    <w:rsid w:val="00DF68F2"/>
    <w:rsid w:val="00F04451"/>
    <w:rsid w:val="00F064D0"/>
    <w:rsid w:val="00F65888"/>
    <w:rsid w:val="0EEA5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2905"/>
      <w:jc w:val="center"/>
      <w:outlineLvl w:val="0"/>
    </w:pPr>
    <w:rPr>
      <w:b/>
      <w:bCs/>
      <w:sz w:val="28"/>
      <w:szCs w:val="28"/>
    </w:rPr>
  </w:style>
  <w:style w:type="paragraph" w:styleId="3">
    <w:name w:val="heading 2"/>
    <w:basedOn w:val="1"/>
    <w:qFormat/>
    <w:uiPriority w:val="1"/>
    <w:pPr>
      <w:jc w:val="center"/>
      <w:outlineLvl w:val="1"/>
    </w:pPr>
    <w:rPr>
      <w:b/>
      <w:bCs/>
      <w:sz w:val="28"/>
      <w:szCs w:val="28"/>
    </w:rPr>
  </w:style>
  <w:style w:type="paragraph" w:styleId="4">
    <w:name w:val="heading 3"/>
    <w:basedOn w:val="1"/>
    <w:qFormat/>
    <w:uiPriority w:val="1"/>
    <w:pPr>
      <w:ind w:left="2905" w:right="1910"/>
      <w:jc w:val="center"/>
      <w:outlineLvl w:val="2"/>
    </w:pPr>
    <w:rPr>
      <w:b/>
      <w:bCs/>
      <w:i/>
      <w:iCs/>
      <w:sz w:val="28"/>
      <w:szCs w:val="28"/>
    </w:rPr>
  </w:style>
  <w:style w:type="paragraph" w:styleId="5">
    <w:name w:val="heading 4"/>
    <w:basedOn w:val="1"/>
    <w:qFormat/>
    <w:uiPriority w:val="1"/>
    <w:pPr>
      <w:ind w:left="2905"/>
      <w:outlineLvl w:val="3"/>
    </w:pPr>
    <w:rPr>
      <w:b/>
      <w:bCs/>
      <w:sz w:val="24"/>
      <w:szCs w:val="24"/>
    </w:rPr>
  </w:style>
  <w:style w:type="paragraph" w:styleId="6">
    <w:name w:val="heading 5"/>
    <w:basedOn w:val="1"/>
    <w:qFormat/>
    <w:uiPriority w:val="1"/>
    <w:pPr>
      <w:ind w:left="1821"/>
      <w:jc w:val="both"/>
      <w:outlineLvl w:val="4"/>
    </w:pPr>
    <w:rPr>
      <w:b/>
      <w:bCs/>
      <w:sz w:val="24"/>
      <w:szCs w:val="24"/>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7"/>
    <w:semiHidden/>
    <w:unhideWhenUsed/>
    <w:qFormat/>
    <w:uiPriority w:val="99"/>
    <w:rPr>
      <w:rFonts w:ascii="Tahoma" w:hAnsi="Tahoma" w:cs="Tahoma"/>
      <w:sz w:val="16"/>
      <w:szCs w:val="16"/>
    </w:rPr>
  </w:style>
  <w:style w:type="paragraph" w:styleId="10">
    <w:name w:val="Body Text"/>
    <w:basedOn w:val="1"/>
    <w:qFormat/>
    <w:uiPriority w:val="1"/>
    <w:rPr>
      <w:sz w:val="24"/>
      <w:szCs w:val="24"/>
    </w:rPr>
  </w:style>
  <w:style w:type="paragraph" w:styleId="11">
    <w:name w:val="footer"/>
    <w:basedOn w:val="1"/>
    <w:link w:val="29"/>
    <w:unhideWhenUsed/>
    <w:qFormat/>
    <w:uiPriority w:val="99"/>
    <w:pPr>
      <w:tabs>
        <w:tab w:val="center" w:pos="4680"/>
        <w:tab w:val="right" w:pos="9360"/>
      </w:tabs>
    </w:pPr>
  </w:style>
  <w:style w:type="paragraph" w:styleId="12">
    <w:name w:val="header"/>
    <w:basedOn w:val="1"/>
    <w:link w:val="28"/>
    <w:unhideWhenUsed/>
    <w:uiPriority w:val="99"/>
    <w:pPr>
      <w:tabs>
        <w:tab w:val="center" w:pos="4680"/>
        <w:tab w:val="right" w:pos="9360"/>
      </w:tabs>
    </w:pPr>
  </w:style>
  <w:style w:type="paragraph" w:styleId="13">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styleId="14">
    <w:name w:val="Hyperlink"/>
    <w:basedOn w:val="7"/>
    <w:unhideWhenUsed/>
    <w:uiPriority w:val="99"/>
    <w:rPr>
      <w:color w:val="0000FF" w:themeColor="hyperlink"/>
      <w:u w:val="single"/>
      <w14:textFill>
        <w14:solidFill>
          <w14:schemeClr w14:val="hlink"/>
        </w14:solidFill>
      </w14:textFill>
    </w:rPr>
  </w:style>
  <w:style w:type="table" w:styleId="15">
    <w:name w:val="Table Grid"/>
    <w:basedOn w:val="8"/>
    <w:qFormat/>
    <w:uiPriority w:val="59"/>
    <w:pPr>
      <w:widowControl/>
      <w:autoSpaceDE/>
      <w:autoSpaceDN/>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6">
    <w:name w:val="toc 1"/>
    <w:basedOn w:val="1"/>
    <w:qFormat/>
    <w:uiPriority w:val="1"/>
    <w:pPr>
      <w:spacing w:before="137"/>
      <w:ind w:left="1302"/>
    </w:pPr>
    <w:rPr>
      <w:b/>
      <w:bCs/>
      <w:sz w:val="24"/>
      <w:szCs w:val="24"/>
    </w:rPr>
  </w:style>
  <w:style w:type="paragraph" w:styleId="17">
    <w:name w:val="toc 2"/>
    <w:basedOn w:val="1"/>
    <w:qFormat/>
    <w:uiPriority w:val="1"/>
    <w:pPr>
      <w:spacing w:before="135"/>
      <w:ind w:left="1276"/>
    </w:pPr>
    <w:rPr>
      <w:b/>
      <w:bCs/>
      <w:sz w:val="24"/>
      <w:szCs w:val="24"/>
    </w:rPr>
  </w:style>
  <w:style w:type="paragraph" w:styleId="18">
    <w:name w:val="toc 3"/>
    <w:basedOn w:val="1"/>
    <w:qFormat/>
    <w:uiPriority w:val="1"/>
    <w:pPr>
      <w:spacing w:before="137"/>
      <w:ind w:left="1662" w:hanging="360"/>
    </w:pPr>
    <w:rPr>
      <w:sz w:val="24"/>
      <w:szCs w:val="24"/>
    </w:rPr>
  </w:style>
  <w:style w:type="paragraph" w:styleId="19">
    <w:name w:val="toc 4"/>
    <w:basedOn w:val="1"/>
    <w:qFormat/>
    <w:uiPriority w:val="1"/>
    <w:pPr>
      <w:spacing w:before="183"/>
      <w:ind w:left="1276"/>
    </w:pPr>
    <w:rPr>
      <w:b/>
      <w:bCs/>
      <w:i/>
      <w:iCs/>
    </w:rPr>
  </w:style>
  <w:style w:type="paragraph" w:styleId="20">
    <w:name w:val="toc 5"/>
    <w:basedOn w:val="1"/>
    <w:qFormat/>
    <w:uiPriority w:val="1"/>
    <w:pPr>
      <w:spacing w:before="137"/>
      <w:ind w:left="1722" w:hanging="360"/>
    </w:pPr>
    <w:rPr>
      <w:sz w:val="24"/>
      <w:szCs w:val="24"/>
    </w:rPr>
  </w:style>
  <w:style w:type="paragraph" w:styleId="21">
    <w:name w:val="toc 6"/>
    <w:basedOn w:val="1"/>
    <w:qFormat/>
    <w:uiPriority w:val="1"/>
    <w:pPr>
      <w:spacing w:before="135"/>
      <w:ind w:left="2022" w:hanging="540"/>
    </w:pPr>
    <w:rPr>
      <w:sz w:val="24"/>
      <w:szCs w:val="24"/>
    </w:rPr>
  </w:style>
  <w:style w:type="paragraph" w:styleId="22">
    <w:name w:val="toc 7"/>
    <w:basedOn w:val="1"/>
    <w:qFormat/>
    <w:uiPriority w:val="1"/>
    <w:pPr>
      <w:spacing w:before="137"/>
      <w:ind w:left="2082" w:hanging="540"/>
    </w:pPr>
    <w:rPr>
      <w:sz w:val="24"/>
      <w:szCs w:val="24"/>
    </w:rPr>
  </w:style>
  <w:style w:type="paragraph" w:styleId="23">
    <w:name w:val="toc 8"/>
    <w:basedOn w:val="1"/>
    <w:qFormat/>
    <w:uiPriority w:val="1"/>
    <w:pPr>
      <w:spacing w:before="134"/>
      <w:ind w:left="2382" w:hanging="720"/>
    </w:pPr>
    <w:rPr>
      <w:sz w:val="24"/>
      <w:szCs w:val="24"/>
    </w:rPr>
  </w:style>
  <w:style w:type="paragraph" w:styleId="24">
    <w:name w:val="toc 9"/>
    <w:basedOn w:val="1"/>
    <w:qFormat/>
    <w:uiPriority w:val="1"/>
    <w:pPr>
      <w:spacing w:before="718" w:after="20"/>
      <w:ind w:left="2905" w:right="1915"/>
      <w:jc w:val="center"/>
    </w:pPr>
    <w:rPr>
      <w:sz w:val="24"/>
      <w:szCs w:val="24"/>
    </w:rPr>
  </w:style>
  <w:style w:type="paragraph" w:styleId="25">
    <w:name w:val="List Paragraph"/>
    <w:basedOn w:val="1"/>
    <w:link w:val="32"/>
    <w:qFormat/>
    <w:uiPriority w:val="34"/>
    <w:pPr>
      <w:ind w:left="1996" w:hanging="360"/>
    </w:pPr>
  </w:style>
  <w:style w:type="paragraph" w:customStyle="1" w:styleId="26">
    <w:name w:val="Table Paragraph"/>
    <w:basedOn w:val="1"/>
    <w:qFormat/>
    <w:uiPriority w:val="1"/>
    <w:pPr>
      <w:spacing w:before="61"/>
      <w:jc w:val="center"/>
    </w:pPr>
  </w:style>
  <w:style w:type="character" w:customStyle="1" w:styleId="27">
    <w:name w:val="Balloon Text Char"/>
    <w:basedOn w:val="7"/>
    <w:link w:val="9"/>
    <w:semiHidden/>
    <w:qFormat/>
    <w:uiPriority w:val="99"/>
    <w:rPr>
      <w:rFonts w:ascii="Tahoma" w:hAnsi="Tahoma" w:eastAsia="Times New Roman" w:cs="Tahoma"/>
      <w:sz w:val="16"/>
      <w:szCs w:val="16"/>
      <w:lang w:val="id"/>
    </w:rPr>
  </w:style>
  <w:style w:type="character" w:customStyle="1" w:styleId="28">
    <w:name w:val="Header Char"/>
    <w:basedOn w:val="7"/>
    <w:link w:val="12"/>
    <w:qFormat/>
    <w:uiPriority w:val="99"/>
    <w:rPr>
      <w:rFonts w:ascii="Times New Roman" w:hAnsi="Times New Roman" w:eastAsia="Times New Roman" w:cs="Times New Roman"/>
      <w:lang w:val="id"/>
    </w:rPr>
  </w:style>
  <w:style w:type="character" w:customStyle="1" w:styleId="29">
    <w:name w:val="Footer Char"/>
    <w:basedOn w:val="7"/>
    <w:link w:val="11"/>
    <w:uiPriority w:val="99"/>
    <w:rPr>
      <w:rFonts w:ascii="Times New Roman" w:hAnsi="Times New Roman" w:eastAsia="Times New Roman" w:cs="Times New Roman"/>
      <w:lang w:val="id"/>
    </w:rPr>
  </w:style>
  <w:style w:type="character" w:customStyle="1" w:styleId="30">
    <w:name w:val="HTML Preformatted Char"/>
    <w:basedOn w:val="7"/>
    <w:link w:val="13"/>
    <w:semiHidden/>
    <w:qFormat/>
    <w:uiPriority w:val="99"/>
    <w:rPr>
      <w:rFonts w:ascii="Courier New" w:hAnsi="Courier New" w:eastAsia="Times New Roman" w:cs="Courier New"/>
      <w:sz w:val="20"/>
      <w:szCs w:val="20"/>
    </w:rPr>
  </w:style>
  <w:style w:type="character" w:customStyle="1" w:styleId="31">
    <w:name w:val="y2iqfc"/>
    <w:basedOn w:val="7"/>
    <w:qFormat/>
    <w:uiPriority w:val="0"/>
  </w:style>
  <w:style w:type="character" w:customStyle="1" w:styleId="32">
    <w:name w:val="List Paragraph Char"/>
    <w:basedOn w:val="7"/>
    <w:link w:val="25"/>
    <w:qFormat/>
    <w:locked/>
    <w:uiPriority w:val="34"/>
    <w:rPr>
      <w:rFonts w:ascii="Times New Roman" w:hAnsi="Times New Roman" w:eastAsia="Times New Roman" w:cs="Times New Roman"/>
      <w:lang w:val="i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1832</Words>
  <Characters>11132</Characters>
  <Lines>122</Lines>
  <Paragraphs>34</Paragraphs>
  <TotalTime>6</TotalTime>
  <ScaleCrop>false</ScaleCrop>
  <LinksUpToDate>false</LinksUpToDate>
  <CharactersWithSpaces>12859</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2026-02-11T06:40:00Z</dcterms:created>
  <dc:creator>ASUS</dc:creator>
  <cp:lastModifiedBy>Vina OMPUSUNGGU</cp:lastModifiedBy>
  <cp:lastPrinted>2026-02-10T15:54:00Z</cp:lastPrinted>
  <dcterms:modified xsi:type="dcterms:W3CDTF">2026-04-15T08:35:51Z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LastSaved">
    <vt:filetime>2026-02-10T00:00:00Z</vt:filetime>
  </property>
  <property fmtid="{D5CDD505-2E9C-101B-9397-08002B2CF9AE}" pid="4" name="Producer">
    <vt:lpwstr>iLovePDF</vt:lpwstr>
  </property>
  <property fmtid="{D5CDD505-2E9C-101B-9397-08002B2CF9AE}" pid="5" name="KSOTemplateDocerSaveRecord">
    <vt:lpwstr>eyJoZGlkIjoiNTBmZmVkZjQ4MDNjZTVhMzQ1MjA0ZTM1ZmFiMjQ4NmEiLCJ1c2VySWQiOiI4ODEzNzE5MDc3NTkyIn0=</vt:lpwstr>
  </property>
  <property fmtid="{D5CDD505-2E9C-101B-9397-08002B2CF9AE}" pid="6" name="KSOProductBuildVer">
    <vt:lpwstr>1057-12.1.0.25830</vt:lpwstr>
  </property>
  <property fmtid="{D5CDD505-2E9C-101B-9397-08002B2CF9AE}" pid="7" name="ICV">
    <vt:lpwstr>F97FE7CED45A4191BCD0A9469040DC51_12</vt:lpwstr>
  </property>
</Properties>
</file>